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000" w:type="dxa"/>
        <w:tblCellSpacing w:w="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F0F9"/>
        <w:tblLayout w:type="autofit"/>
        <w:tblCellMar>
          <w:top w:w="0" w:type="dxa"/>
          <w:left w:w="10" w:type="dxa"/>
          <w:bottom w:w="0" w:type="dxa"/>
          <w:right w:w="10" w:type="dxa"/>
        </w:tblCellMar>
      </w:tblPr>
      <w:tblGrid>
        <w:gridCol w:w="2254"/>
        <w:gridCol w:w="6746"/>
      </w:tblGrid>
      <w:tr w14:paraId="59903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blCellSpacing w:w="60" w:type="dxa"/>
        </w:trPr>
        <w:tc>
          <w:tcPr>
            <w:tcW w:w="1200" w:type="pct"/>
            <w:shd w:val="clear" w:color="auto" w:fill="E7F0F9"/>
          </w:tcPr>
          <w:p w14:paraId="1B7F6CCE">
            <w:pPr>
              <w:spacing w:before="0" w:after="0" w:line="240" w:lineRule="auto"/>
              <w:jc w:val="left"/>
            </w:pPr>
            <w:bookmarkStart w:id="0" w:name="_GoBack"/>
            <w:bookmarkEnd w:id="0"/>
            <w:r>
              <w:rPr>
                <w:b/>
              </w:rPr>
              <w:t>RKP broj</w:t>
            </w:r>
          </w:p>
        </w:tc>
        <w:tc>
          <w:tcPr>
            <w:shd w:val="clear" w:color="auto" w:fill="E7F0F9"/>
          </w:tcPr>
          <w:p w14:paraId="18D43B69">
            <w:pPr>
              <w:spacing w:before="0" w:after="0" w:line="240" w:lineRule="auto"/>
              <w:jc w:val="left"/>
            </w:pPr>
            <w:r>
              <w:t>8834</w:t>
            </w:r>
          </w:p>
        </w:tc>
      </w:tr>
      <w:tr w14:paraId="7FA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blCellSpacing w:w="60" w:type="dxa"/>
        </w:trPr>
        <w:tc>
          <w:tcPr>
            <w:tcW w:w="1200" w:type="pct"/>
            <w:shd w:val="clear" w:color="auto" w:fill="E7F0F9"/>
          </w:tcPr>
          <w:p w14:paraId="570B96F1">
            <w:pPr>
              <w:spacing w:before="0" w:after="0" w:line="240" w:lineRule="auto"/>
              <w:jc w:val="left"/>
            </w:pPr>
            <w:r>
              <w:rPr>
                <w:b/>
              </w:rPr>
              <w:t>Naziv obveznika</w:t>
            </w:r>
          </w:p>
        </w:tc>
        <w:tc>
          <w:tcPr>
            <w:shd w:val="clear" w:color="auto" w:fill="E7F0F9"/>
          </w:tcPr>
          <w:p w14:paraId="07AC1E5C">
            <w:pPr>
              <w:spacing w:before="0" w:after="0" w:line="240" w:lineRule="auto"/>
              <w:jc w:val="left"/>
            </w:pPr>
            <w:r>
              <w:t>OSNOVNA ŠKOLA "VLADIMIR NAZOR"</w:t>
            </w:r>
          </w:p>
        </w:tc>
      </w:tr>
      <w:tr w14:paraId="0DE47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blCellSpacing w:w="60" w:type="dxa"/>
        </w:trPr>
        <w:tc>
          <w:tcPr>
            <w:tcW w:w="1200" w:type="pct"/>
            <w:shd w:val="clear" w:color="auto" w:fill="E7F0F9"/>
          </w:tcPr>
          <w:p w14:paraId="627EBAAF">
            <w:pPr>
              <w:spacing w:before="0" w:after="0" w:line="240" w:lineRule="auto"/>
              <w:jc w:val="left"/>
            </w:pPr>
            <w:r>
              <w:rPr>
                <w:b/>
              </w:rPr>
              <w:t>Razina</w:t>
            </w:r>
          </w:p>
        </w:tc>
        <w:tc>
          <w:tcPr>
            <w:shd w:val="clear" w:color="auto" w:fill="E7F0F9"/>
          </w:tcPr>
          <w:p w14:paraId="79D00600">
            <w:pPr>
              <w:spacing w:before="0" w:after="0" w:line="240" w:lineRule="auto"/>
              <w:jc w:val="left"/>
            </w:pPr>
            <w:r>
              <w:t>31</w:t>
            </w:r>
          </w:p>
        </w:tc>
      </w:tr>
    </w:tbl>
    <w:p w14:paraId="76F5D3FE">
      <w:r>
        <w:br w:type="textWrapping"/>
      </w:r>
    </w:p>
    <w:p w14:paraId="5E5D841C">
      <w:pPr>
        <w:spacing w:line="240" w:lineRule="auto"/>
        <w:jc w:val="center"/>
      </w:pPr>
      <w:r>
        <w:rPr>
          <w:rFonts w:ascii="Times New Roman" w:hAnsi="Times New Roman"/>
          <w:b/>
          <w:sz w:val="28"/>
        </w:rPr>
        <w:t>BILJEŠKE UZ FINANCIJSKE IZVJEŠTAJE</w:t>
      </w:r>
    </w:p>
    <w:p w14:paraId="38E396C9">
      <w:pPr>
        <w:spacing w:line="240" w:lineRule="auto"/>
        <w:jc w:val="center"/>
      </w:pPr>
      <w:r>
        <w:rPr>
          <w:rFonts w:ascii="Times New Roman" w:hAnsi="Times New Roman"/>
          <w:b/>
          <w:sz w:val="28"/>
        </w:rPr>
        <w:t>ZA RAZDOBLJE</w:t>
      </w:r>
    </w:p>
    <w:p w14:paraId="5054B6D5">
      <w:pPr>
        <w:spacing w:line="240" w:lineRule="auto"/>
        <w:jc w:val="center"/>
      </w:pPr>
      <w:r>
        <w:rPr>
          <w:rFonts w:ascii="Times New Roman" w:hAnsi="Times New Roman"/>
          <w:b/>
          <w:sz w:val="28"/>
        </w:rPr>
        <w:t>I - VI 2026.</w:t>
      </w:r>
    </w:p>
    <w:p w14:paraId="000C51DE"/>
    <w:p w14:paraId="43B6336C">
      <w:pPr>
        <w:keepNext/>
        <w:spacing w:line="240" w:lineRule="auto"/>
        <w:jc w:val="center"/>
      </w:pPr>
      <w:r>
        <w:rPr>
          <w:rFonts w:ascii="Times New Roman" w:hAnsi="Times New Roman"/>
          <w:b/>
          <w:sz w:val="28"/>
        </w:rPr>
        <w:t>Izvještaj o prihodima i rashodima, primicima i izdacima</w:t>
      </w:r>
    </w:p>
    <w:p w14:paraId="4294B70B">
      <w:pPr>
        <w:keepNext/>
        <w:spacing w:line="240" w:lineRule="auto"/>
        <w:jc w:val="center"/>
      </w:pPr>
      <w:r>
        <w:rPr>
          <w:rFonts w:ascii="Times New Roman" w:hAnsi="Times New Roman"/>
          <w:sz w:val="28"/>
        </w:rPr>
        <w:t>Bilješka 1.</w:t>
      </w:r>
    </w:p>
    <w:tbl>
      <w:tblPr>
        <w:tblStyle w:val="3"/>
        <w:tblW w:w="0" w:type="auto"/>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07B17233">
        <w:tblPrEx>
          <w:tblCellMar>
            <w:top w:w="0" w:type="dxa"/>
            <w:left w:w="40" w:type="dxa"/>
            <w:bottom w:w="0" w:type="dxa"/>
            <w:right w:w="40" w:type="dxa"/>
          </w:tblCellMar>
        </w:tblPrEx>
        <w:trPr>
          <w:cantSplit/>
        </w:trPr>
        <w:tc>
          <w:tcPr>
            <w:shd w:val="clear" w:color="auto" w:fill="E7F0F9"/>
            <w:tcMar>
              <w:top w:w="0" w:type="dxa"/>
              <w:bottom w:w="0" w:type="dxa"/>
            </w:tcMar>
            <w:vAlign w:val="center"/>
          </w:tcPr>
          <w:p w14:paraId="0BC38B62">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3852315E">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30FED6AC">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4254191E">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00321FF9">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20133B43">
            <w:pPr>
              <w:keepNext/>
              <w:keepLines/>
              <w:spacing w:before="0" w:after="0" w:line="240" w:lineRule="auto"/>
              <w:jc w:val="center"/>
            </w:pPr>
            <w:r>
              <w:rPr>
                <w:rFonts w:ascii="Times New Roman" w:hAnsi="Times New Roman"/>
                <w:b/>
                <w:sz w:val="18"/>
              </w:rPr>
              <w:t>Indeks (%)</w:t>
            </w:r>
          </w:p>
        </w:tc>
      </w:tr>
      <w:tr w14:paraId="578D37E0">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7EA59232">
            <w:pPr>
              <w:keepNext/>
              <w:keepLines/>
              <w:spacing w:before="0" w:after="0" w:line="240" w:lineRule="auto"/>
              <w:jc w:val="left"/>
            </w:pPr>
            <w:r>
              <w:rPr>
                <w:rFonts w:ascii="Times New Roman" w:hAnsi="Times New Roman"/>
                <w:sz w:val="18"/>
              </w:rPr>
              <w:t>6</w:t>
            </w:r>
          </w:p>
        </w:tc>
        <w:tc>
          <w:tcPr>
            <w:tcMar>
              <w:top w:w="0" w:type="dxa"/>
              <w:bottom w:w="0" w:type="dxa"/>
            </w:tcMar>
            <w:vAlign w:val="center"/>
          </w:tcPr>
          <w:p w14:paraId="2B9AD89D">
            <w:pPr>
              <w:keepNext/>
              <w:keepLines/>
              <w:spacing w:before="0" w:after="0" w:line="240" w:lineRule="auto"/>
              <w:jc w:val="left"/>
            </w:pPr>
            <w:r>
              <w:rPr>
                <w:rFonts w:ascii="Times New Roman" w:hAnsi="Times New Roman"/>
                <w:sz w:val="18"/>
              </w:rPr>
              <w:t>PRIHODI POSLOVANJA (šifre 61+62+63+64+65+66+67+68)</w:t>
            </w:r>
          </w:p>
        </w:tc>
        <w:tc>
          <w:tcPr>
            <w:tcMar>
              <w:top w:w="0" w:type="dxa"/>
              <w:bottom w:w="0" w:type="dxa"/>
            </w:tcMar>
            <w:vAlign w:val="center"/>
          </w:tcPr>
          <w:p w14:paraId="454D2EF5">
            <w:pPr>
              <w:keepNext/>
              <w:keepLines/>
              <w:spacing w:before="0" w:after="0" w:line="240" w:lineRule="auto"/>
              <w:jc w:val="left"/>
            </w:pPr>
            <w:r>
              <w:rPr>
                <w:rFonts w:ascii="Times New Roman" w:hAnsi="Times New Roman"/>
                <w:sz w:val="18"/>
              </w:rPr>
              <w:t>6</w:t>
            </w:r>
          </w:p>
        </w:tc>
        <w:tc>
          <w:tcPr>
            <w:tcMar>
              <w:top w:w="0" w:type="dxa"/>
              <w:bottom w:w="0" w:type="dxa"/>
            </w:tcMar>
            <w:vAlign w:val="center"/>
          </w:tcPr>
          <w:p w14:paraId="634C0DDE">
            <w:pPr>
              <w:keepNext/>
              <w:keepLines/>
              <w:spacing w:before="0" w:after="0" w:line="240" w:lineRule="auto"/>
              <w:jc w:val="right"/>
            </w:pPr>
            <w:r>
              <w:rPr>
                <w:rFonts w:ascii="Times New Roman" w:hAnsi="Times New Roman"/>
                <w:sz w:val="18"/>
              </w:rPr>
              <w:t>1.049.239,06</w:t>
            </w:r>
          </w:p>
        </w:tc>
        <w:tc>
          <w:tcPr>
            <w:tcMar>
              <w:top w:w="0" w:type="dxa"/>
              <w:bottom w:w="0" w:type="dxa"/>
            </w:tcMar>
            <w:vAlign w:val="center"/>
          </w:tcPr>
          <w:p w14:paraId="5FE2A516">
            <w:pPr>
              <w:keepNext/>
              <w:keepLines/>
              <w:spacing w:before="0" w:after="0" w:line="240" w:lineRule="auto"/>
              <w:jc w:val="right"/>
            </w:pPr>
            <w:r>
              <w:rPr>
                <w:rFonts w:ascii="Times New Roman" w:hAnsi="Times New Roman"/>
                <w:sz w:val="18"/>
              </w:rPr>
              <w:t>1.086.668,10</w:t>
            </w:r>
          </w:p>
        </w:tc>
        <w:tc>
          <w:tcPr>
            <w:tcMar>
              <w:top w:w="0" w:type="dxa"/>
              <w:bottom w:w="0" w:type="dxa"/>
            </w:tcMar>
            <w:vAlign w:val="center"/>
          </w:tcPr>
          <w:p w14:paraId="14A3225A">
            <w:pPr>
              <w:keepNext/>
              <w:keepLines/>
              <w:spacing w:before="0" w:after="0" w:line="240" w:lineRule="auto"/>
              <w:jc w:val="right"/>
            </w:pPr>
            <w:r>
              <w:rPr>
                <w:rFonts w:ascii="Times New Roman" w:hAnsi="Times New Roman"/>
                <w:sz w:val="18"/>
              </w:rPr>
              <w:t>103,6</w:t>
            </w:r>
          </w:p>
        </w:tc>
      </w:tr>
      <w:tr w14:paraId="34E5C14D">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1ABE70D6">
            <w:pPr>
              <w:keepNext/>
              <w:keepLines/>
              <w:spacing w:before="0" w:after="0" w:line="240" w:lineRule="auto"/>
              <w:jc w:val="left"/>
            </w:pPr>
            <w:r>
              <w:rPr>
                <w:rFonts w:ascii="Times New Roman" w:hAnsi="Times New Roman"/>
                <w:sz w:val="18"/>
              </w:rPr>
              <w:t>3</w:t>
            </w:r>
          </w:p>
        </w:tc>
        <w:tc>
          <w:tcPr>
            <w:tcMar>
              <w:top w:w="0" w:type="dxa"/>
              <w:bottom w:w="0" w:type="dxa"/>
            </w:tcMar>
            <w:vAlign w:val="center"/>
          </w:tcPr>
          <w:p w14:paraId="3326DAE8">
            <w:pPr>
              <w:keepNext/>
              <w:keepLines/>
              <w:spacing w:before="0" w:after="0" w:line="240" w:lineRule="auto"/>
              <w:jc w:val="left"/>
            </w:pPr>
            <w:r>
              <w:rPr>
                <w:rFonts w:ascii="Times New Roman" w:hAnsi="Times New Roman"/>
                <w:sz w:val="18"/>
              </w:rPr>
              <w:t>RASHODI POSLOVANJA (šifre 31+32+34+35+36+37+38)</w:t>
            </w:r>
          </w:p>
        </w:tc>
        <w:tc>
          <w:tcPr>
            <w:tcMar>
              <w:top w:w="0" w:type="dxa"/>
              <w:bottom w:w="0" w:type="dxa"/>
            </w:tcMar>
            <w:vAlign w:val="center"/>
          </w:tcPr>
          <w:p w14:paraId="1FD7D087">
            <w:pPr>
              <w:keepNext/>
              <w:keepLines/>
              <w:spacing w:before="0" w:after="0" w:line="240" w:lineRule="auto"/>
              <w:jc w:val="left"/>
            </w:pPr>
            <w:r>
              <w:rPr>
                <w:rFonts w:ascii="Times New Roman" w:hAnsi="Times New Roman"/>
                <w:sz w:val="18"/>
              </w:rPr>
              <w:t>3</w:t>
            </w:r>
          </w:p>
        </w:tc>
        <w:tc>
          <w:tcPr>
            <w:tcMar>
              <w:top w:w="0" w:type="dxa"/>
              <w:bottom w:w="0" w:type="dxa"/>
            </w:tcMar>
            <w:vAlign w:val="center"/>
          </w:tcPr>
          <w:p w14:paraId="51AC532E">
            <w:pPr>
              <w:keepNext/>
              <w:keepLines/>
              <w:spacing w:before="0" w:after="0" w:line="240" w:lineRule="auto"/>
              <w:jc w:val="right"/>
            </w:pPr>
            <w:r>
              <w:rPr>
                <w:rFonts w:ascii="Times New Roman" w:hAnsi="Times New Roman"/>
                <w:sz w:val="18"/>
              </w:rPr>
              <w:t>1.107.051,61</w:t>
            </w:r>
          </w:p>
        </w:tc>
        <w:tc>
          <w:tcPr>
            <w:tcMar>
              <w:top w:w="0" w:type="dxa"/>
              <w:bottom w:w="0" w:type="dxa"/>
            </w:tcMar>
            <w:vAlign w:val="center"/>
          </w:tcPr>
          <w:p w14:paraId="62198400">
            <w:pPr>
              <w:keepNext/>
              <w:keepLines/>
              <w:spacing w:before="0" w:after="0" w:line="240" w:lineRule="auto"/>
              <w:jc w:val="right"/>
            </w:pPr>
            <w:r>
              <w:rPr>
                <w:rFonts w:ascii="Times New Roman" w:hAnsi="Times New Roman"/>
                <w:sz w:val="18"/>
              </w:rPr>
              <w:t>1.123.446,53</w:t>
            </w:r>
          </w:p>
        </w:tc>
        <w:tc>
          <w:tcPr>
            <w:tcMar>
              <w:top w:w="0" w:type="dxa"/>
              <w:bottom w:w="0" w:type="dxa"/>
            </w:tcMar>
            <w:vAlign w:val="center"/>
          </w:tcPr>
          <w:p w14:paraId="58314FA3">
            <w:pPr>
              <w:keepNext/>
              <w:keepLines/>
              <w:spacing w:before="0" w:after="0" w:line="240" w:lineRule="auto"/>
              <w:jc w:val="right"/>
            </w:pPr>
            <w:r>
              <w:rPr>
                <w:rFonts w:ascii="Times New Roman" w:hAnsi="Times New Roman"/>
                <w:sz w:val="18"/>
              </w:rPr>
              <w:t>101,5</w:t>
            </w:r>
          </w:p>
        </w:tc>
      </w:tr>
      <w:tr w14:paraId="34DC097F">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4CA5C538">
            <w:pPr>
              <w:keepNext/>
              <w:keepLines/>
              <w:spacing w:before="0" w:after="0" w:line="240" w:lineRule="auto"/>
              <w:jc w:val="left"/>
            </w:pPr>
          </w:p>
        </w:tc>
        <w:tc>
          <w:tcPr>
            <w:tcMar>
              <w:top w:w="0" w:type="dxa"/>
              <w:bottom w:w="0" w:type="dxa"/>
            </w:tcMar>
            <w:vAlign w:val="center"/>
          </w:tcPr>
          <w:p w14:paraId="7A54C905">
            <w:pPr>
              <w:keepNext/>
              <w:keepLines/>
              <w:spacing w:before="0" w:after="0" w:line="240" w:lineRule="auto"/>
              <w:jc w:val="left"/>
            </w:pPr>
            <w:r>
              <w:rPr>
                <w:rFonts w:ascii="Times New Roman" w:hAnsi="Times New Roman"/>
                <w:b/>
                <w:sz w:val="18"/>
              </w:rPr>
              <w:t>MANJAK PRIHODA POSLOVANJA (šifre Z005-6)</w:t>
            </w:r>
          </w:p>
        </w:tc>
        <w:tc>
          <w:tcPr>
            <w:tcMar>
              <w:top w:w="0" w:type="dxa"/>
              <w:bottom w:w="0" w:type="dxa"/>
            </w:tcMar>
            <w:vAlign w:val="center"/>
          </w:tcPr>
          <w:p w14:paraId="27B915F3">
            <w:pPr>
              <w:keepNext/>
              <w:keepLines/>
              <w:spacing w:before="0" w:after="0" w:line="240" w:lineRule="auto"/>
              <w:jc w:val="left"/>
            </w:pPr>
            <w:r>
              <w:rPr>
                <w:rFonts w:ascii="Times New Roman" w:hAnsi="Times New Roman"/>
                <w:b/>
                <w:sz w:val="18"/>
              </w:rPr>
              <w:t>Y001</w:t>
            </w:r>
          </w:p>
        </w:tc>
        <w:tc>
          <w:tcPr>
            <w:tcMar>
              <w:top w:w="0" w:type="dxa"/>
              <w:bottom w:w="0" w:type="dxa"/>
            </w:tcMar>
            <w:vAlign w:val="center"/>
          </w:tcPr>
          <w:p w14:paraId="037ED320">
            <w:pPr>
              <w:keepNext/>
              <w:keepLines/>
              <w:spacing w:before="0" w:after="0" w:line="240" w:lineRule="auto"/>
              <w:jc w:val="right"/>
            </w:pPr>
            <w:r>
              <w:rPr>
                <w:rFonts w:ascii="Times New Roman" w:hAnsi="Times New Roman"/>
                <w:b/>
                <w:sz w:val="18"/>
              </w:rPr>
              <w:t>57.812,55</w:t>
            </w:r>
          </w:p>
        </w:tc>
        <w:tc>
          <w:tcPr>
            <w:tcMar>
              <w:top w:w="0" w:type="dxa"/>
              <w:bottom w:w="0" w:type="dxa"/>
            </w:tcMar>
            <w:vAlign w:val="center"/>
          </w:tcPr>
          <w:p w14:paraId="1F898BF2">
            <w:pPr>
              <w:keepNext/>
              <w:keepLines/>
              <w:spacing w:before="0" w:after="0" w:line="240" w:lineRule="auto"/>
              <w:jc w:val="right"/>
            </w:pPr>
            <w:r>
              <w:rPr>
                <w:rFonts w:ascii="Times New Roman" w:hAnsi="Times New Roman"/>
                <w:b/>
                <w:sz w:val="18"/>
              </w:rPr>
              <w:t>36.778,43</w:t>
            </w:r>
          </w:p>
        </w:tc>
        <w:tc>
          <w:tcPr>
            <w:tcMar>
              <w:top w:w="0" w:type="dxa"/>
              <w:bottom w:w="0" w:type="dxa"/>
            </w:tcMar>
            <w:vAlign w:val="center"/>
          </w:tcPr>
          <w:p w14:paraId="08690C36">
            <w:pPr>
              <w:keepNext/>
              <w:keepLines/>
              <w:spacing w:before="0" w:after="0" w:line="240" w:lineRule="auto"/>
              <w:jc w:val="right"/>
            </w:pPr>
            <w:r>
              <w:rPr>
                <w:rFonts w:ascii="Times New Roman" w:hAnsi="Times New Roman"/>
                <w:b/>
                <w:sz w:val="18"/>
              </w:rPr>
              <w:t>63,6</w:t>
            </w:r>
          </w:p>
        </w:tc>
      </w:tr>
      <w:tr w14:paraId="3D8784EC">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1FCF12E8">
            <w:pPr>
              <w:keepNext/>
              <w:keepLines/>
              <w:spacing w:before="0" w:after="0" w:line="240" w:lineRule="auto"/>
              <w:jc w:val="left"/>
            </w:pPr>
            <w:r>
              <w:rPr>
                <w:rFonts w:ascii="Times New Roman" w:hAnsi="Times New Roman"/>
                <w:sz w:val="18"/>
              </w:rPr>
              <w:t>7</w:t>
            </w:r>
          </w:p>
        </w:tc>
        <w:tc>
          <w:tcPr>
            <w:tcMar>
              <w:top w:w="0" w:type="dxa"/>
              <w:bottom w:w="0" w:type="dxa"/>
            </w:tcMar>
            <w:vAlign w:val="center"/>
          </w:tcPr>
          <w:p w14:paraId="56AA83FD">
            <w:pPr>
              <w:keepNext/>
              <w:keepLines/>
              <w:spacing w:before="0" w:after="0" w:line="240" w:lineRule="auto"/>
              <w:jc w:val="left"/>
            </w:pPr>
            <w:r>
              <w:rPr>
                <w:rFonts w:ascii="Times New Roman" w:hAnsi="Times New Roman"/>
                <w:sz w:val="18"/>
              </w:rPr>
              <w:t>Prihodi od prodaje nefinancijske imovine (šifre 71+72+73+74)</w:t>
            </w:r>
          </w:p>
        </w:tc>
        <w:tc>
          <w:tcPr>
            <w:tcMar>
              <w:top w:w="0" w:type="dxa"/>
              <w:bottom w:w="0" w:type="dxa"/>
            </w:tcMar>
            <w:vAlign w:val="center"/>
          </w:tcPr>
          <w:p w14:paraId="596C101D">
            <w:pPr>
              <w:keepNext/>
              <w:keepLines/>
              <w:spacing w:before="0" w:after="0" w:line="240" w:lineRule="auto"/>
              <w:jc w:val="left"/>
            </w:pPr>
            <w:r>
              <w:rPr>
                <w:rFonts w:ascii="Times New Roman" w:hAnsi="Times New Roman"/>
                <w:sz w:val="18"/>
              </w:rPr>
              <w:t>7</w:t>
            </w:r>
          </w:p>
        </w:tc>
        <w:tc>
          <w:tcPr>
            <w:tcMar>
              <w:top w:w="0" w:type="dxa"/>
              <w:bottom w:w="0" w:type="dxa"/>
            </w:tcMar>
            <w:vAlign w:val="center"/>
          </w:tcPr>
          <w:p w14:paraId="4FE3C78F">
            <w:pPr>
              <w:keepNext/>
              <w:keepLines/>
              <w:spacing w:before="0" w:after="0" w:line="240" w:lineRule="auto"/>
              <w:jc w:val="right"/>
            </w:pPr>
            <w:r>
              <w:rPr>
                <w:rFonts w:ascii="Times New Roman" w:hAnsi="Times New Roman"/>
                <w:sz w:val="18"/>
              </w:rPr>
              <w:t>0,00</w:t>
            </w:r>
          </w:p>
        </w:tc>
        <w:tc>
          <w:tcPr>
            <w:tcMar>
              <w:top w:w="0" w:type="dxa"/>
              <w:bottom w:w="0" w:type="dxa"/>
            </w:tcMar>
            <w:vAlign w:val="center"/>
          </w:tcPr>
          <w:p w14:paraId="0267909F">
            <w:pPr>
              <w:keepNext/>
              <w:keepLines/>
              <w:spacing w:before="0" w:after="0" w:line="240" w:lineRule="auto"/>
              <w:jc w:val="right"/>
            </w:pPr>
            <w:r>
              <w:rPr>
                <w:rFonts w:ascii="Times New Roman" w:hAnsi="Times New Roman"/>
                <w:sz w:val="18"/>
              </w:rPr>
              <w:t>0,00</w:t>
            </w:r>
          </w:p>
        </w:tc>
        <w:tc>
          <w:tcPr>
            <w:tcMar>
              <w:top w:w="0" w:type="dxa"/>
              <w:bottom w:w="0" w:type="dxa"/>
            </w:tcMar>
            <w:vAlign w:val="center"/>
          </w:tcPr>
          <w:p w14:paraId="2555B4C7">
            <w:pPr>
              <w:keepNext/>
              <w:keepLines/>
              <w:spacing w:before="0" w:after="0" w:line="240" w:lineRule="auto"/>
              <w:jc w:val="right"/>
            </w:pPr>
            <w:r>
              <w:rPr>
                <w:rFonts w:ascii="Times New Roman" w:hAnsi="Times New Roman"/>
                <w:sz w:val="18"/>
              </w:rPr>
              <w:t>-</w:t>
            </w:r>
          </w:p>
        </w:tc>
      </w:tr>
      <w:tr w14:paraId="08A9BE88">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38A81C74">
            <w:pPr>
              <w:keepNext/>
              <w:keepLines/>
              <w:spacing w:before="0" w:after="0" w:line="240" w:lineRule="auto"/>
              <w:jc w:val="left"/>
            </w:pPr>
            <w:r>
              <w:rPr>
                <w:rFonts w:ascii="Times New Roman" w:hAnsi="Times New Roman"/>
                <w:sz w:val="18"/>
              </w:rPr>
              <w:t>4</w:t>
            </w:r>
          </w:p>
        </w:tc>
        <w:tc>
          <w:tcPr>
            <w:tcMar>
              <w:top w:w="0" w:type="dxa"/>
              <w:bottom w:w="0" w:type="dxa"/>
            </w:tcMar>
            <w:vAlign w:val="center"/>
          </w:tcPr>
          <w:p w14:paraId="21ED7601">
            <w:pPr>
              <w:keepNext/>
              <w:keepLines/>
              <w:spacing w:before="0" w:after="0" w:line="240" w:lineRule="auto"/>
              <w:jc w:val="left"/>
            </w:pPr>
            <w:r>
              <w:rPr>
                <w:rFonts w:ascii="Times New Roman" w:hAnsi="Times New Roman"/>
                <w:sz w:val="18"/>
              </w:rPr>
              <w:t>Rashodi za nabavu nefinancijske imovine (šifre 41+42+43+44+45)</w:t>
            </w:r>
          </w:p>
        </w:tc>
        <w:tc>
          <w:tcPr>
            <w:tcMar>
              <w:top w:w="0" w:type="dxa"/>
              <w:bottom w:w="0" w:type="dxa"/>
            </w:tcMar>
            <w:vAlign w:val="center"/>
          </w:tcPr>
          <w:p w14:paraId="4DAEE8E5">
            <w:pPr>
              <w:keepNext/>
              <w:keepLines/>
              <w:spacing w:before="0" w:after="0" w:line="240" w:lineRule="auto"/>
              <w:jc w:val="left"/>
            </w:pPr>
            <w:r>
              <w:rPr>
                <w:rFonts w:ascii="Times New Roman" w:hAnsi="Times New Roman"/>
                <w:sz w:val="18"/>
              </w:rPr>
              <w:t>4</w:t>
            </w:r>
          </w:p>
        </w:tc>
        <w:tc>
          <w:tcPr>
            <w:tcMar>
              <w:top w:w="0" w:type="dxa"/>
              <w:bottom w:w="0" w:type="dxa"/>
            </w:tcMar>
            <w:vAlign w:val="center"/>
          </w:tcPr>
          <w:p w14:paraId="3C5EC0EA">
            <w:pPr>
              <w:keepNext/>
              <w:keepLines/>
              <w:spacing w:before="0" w:after="0" w:line="240" w:lineRule="auto"/>
              <w:jc w:val="right"/>
            </w:pPr>
            <w:r>
              <w:rPr>
                <w:rFonts w:ascii="Times New Roman" w:hAnsi="Times New Roman"/>
                <w:sz w:val="18"/>
              </w:rPr>
              <w:t>1.740,00</w:t>
            </w:r>
          </w:p>
        </w:tc>
        <w:tc>
          <w:tcPr>
            <w:tcMar>
              <w:top w:w="0" w:type="dxa"/>
              <w:bottom w:w="0" w:type="dxa"/>
            </w:tcMar>
            <w:vAlign w:val="center"/>
          </w:tcPr>
          <w:p w14:paraId="6C9C28A5">
            <w:pPr>
              <w:keepNext/>
              <w:keepLines/>
              <w:spacing w:before="0" w:after="0" w:line="240" w:lineRule="auto"/>
              <w:jc w:val="right"/>
            </w:pPr>
            <w:r>
              <w:rPr>
                <w:rFonts w:ascii="Times New Roman" w:hAnsi="Times New Roman"/>
                <w:sz w:val="18"/>
              </w:rPr>
              <w:t>1.471,21</w:t>
            </w:r>
          </w:p>
        </w:tc>
        <w:tc>
          <w:tcPr>
            <w:tcMar>
              <w:top w:w="0" w:type="dxa"/>
              <w:bottom w:w="0" w:type="dxa"/>
            </w:tcMar>
            <w:vAlign w:val="center"/>
          </w:tcPr>
          <w:p w14:paraId="09DA030A">
            <w:pPr>
              <w:keepNext/>
              <w:keepLines/>
              <w:spacing w:before="0" w:after="0" w:line="240" w:lineRule="auto"/>
              <w:jc w:val="right"/>
            </w:pPr>
            <w:r>
              <w:rPr>
                <w:rFonts w:ascii="Times New Roman" w:hAnsi="Times New Roman"/>
                <w:sz w:val="18"/>
              </w:rPr>
              <w:t>84,6</w:t>
            </w:r>
          </w:p>
        </w:tc>
      </w:tr>
      <w:tr w14:paraId="0B2A06ED">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1462C11D">
            <w:pPr>
              <w:keepNext/>
              <w:keepLines/>
              <w:spacing w:before="0" w:after="0" w:line="240" w:lineRule="auto"/>
              <w:jc w:val="left"/>
            </w:pPr>
          </w:p>
        </w:tc>
        <w:tc>
          <w:tcPr>
            <w:tcMar>
              <w:top w:w="0" w:type="dxa"/>
              <w:bottom w:w="0" w:type="dxa"/>
            </w:tcMar>
            <w:vAlign w:val="center"/>
          </w:tcPr>
          <w:p w14:paraId="765126C0">
            <w:pPr>
              <w:keepNext/>
              <w:keepLines/>
              <w:spacing w:before="0" w:after="0" w:line="240" w:lineRule="auto"/>
              <w:jc w:val="left"/>
            </w:pPr>
            <w:r>
              <w:rPr>
                <w:rFonts w:ascii="Times New Roman" w:hAnsi="Times New Roman"/>
                <w:b/>
                <w:sz w:val="18"/>
              </w:rPr>
              <w:t>MANJAK PRIHODA OD NEFINANCIJSKE IMOVINE (šifre 4-7)</w:t>
            </w:r>
          </w:p>
        </w:tc>
        <w:tc>
          <w:tcPr>
            <w:tcMar>
              <w:top w:w="0" w:type="dxa"/>
              <w:bottom w:w="0" w:type="dxa"/>
            </w:tcMar>
            <w:vAlign w:val="center"/>
          </w:tcPr>
          <w:p w14:paraId="380F5B7F">
            <w:pPr>
              <w:keepNext/>
              <w:keepLines/>
              <w:spacing w:before="0" w:after="0" w:line="240" w:lineRule="auto"/>
              <w:jc w:val="left"/>
            </w:pPr>
            <w:r>
              <w:rPr>
                <w:rFonts w:ascii="Times New Roman" w:hAnsi="Times New Roman"/>
                <w:b/>
                <w:sz w:val="18"/>
              </w:rPr>
              <w:t>Y002</w:t>
            </w:r>
          </w:p>
        </w:tc>
        <w:tc>
          <w:tcPr>
            <w:tcMar>
              <w:top w:w="0" w:type="dxa"/>
              <w:bottom w:w="0" w:type="dxa"/>
            </w:tcMar>
            <w:vAlign w:val="center"/>
          </w:tcPr>
          <w:p w14:paraId="61601901">
            <w:pPr>
              <w:keepNext/>
              <w:keepLines/>
              <w:spacing w:before="0" w:after="0" w:line="240" w:lineRule="auto"/>
              <w:jc w:val="right"/>
            </w:pPr>
            <w:r>
              <w:rPr>
                <w:rFonts w:ascii="Times New Roman" w:hAnsi="Times New Roman"/>
                <w:b/>
                <w:sz w:val="18"/>
              </w:rPr>
              <w:t>1.740,00</w:t>
            </w:r>
          </w:p>
        </w:tc>
        <w:tc>
          <w:tcPr>
            <w:tcMar>
              <w:top w:w="0" w:type="dxa"/>
              <w:bottom w:w="0" w:type="dxa"/>
            </w:tcMar>
            <w:vAlign w:val="center"/>
          </w:tcPr>
          <w:p w14:paraId="0EACA446">
            <w:pPr>
              <w:keepNext/>
              <w:keepLines/>
              <w:spacing w:before="0" w:after="0" w:line="240" w:lineRule="auto"/>
              <w:jc w:val="right"/>
            </w:pPr>
            <w:r>
              <w:rPr>
                <w:rFonts w:ascii="Times New Roman" w:hAnsi="Times New Roman"/>
                <w:b/>
                <w:sz w:val="18"/>
              </w:rPr>
              <w:t>1.471,21</w:t>
            </w:r>
          </w:p>
        </w:tc>
        <w:tc>
          <w:tcPr>
            <w:tcMar>
              <w:top w:w="0" w:type="dxa"/>
              <w:bottom w:w="0" w:type="dxa"/>
            </w:tcMar>
            <w:vAlign w:val="center"/>
          </w:tcPr>
          <w:p w14:paraId="09856A8A">
            <w:pPr>
              <w:keepNext/>
              <w:keepLines/>
              <w:spacing w:before="0" w:after="0" w:line="240" w:lineRule="auto"/>
              <w:jc w:val="right"/>
            </w:pPr>
            <w:r>
              <w:rPr>
                <w:rFonts w:ascii="Times New Roman" w:hAnsi="Times New Roman"/>
                <w:b/>
                <w:sz w:val="18"/>
              </w:rPr>
              <w:t>84,6</w:t>
            </w:r>
          </w:p>
        </w:tc>
      </w:tr>
      <w:tr w14:paraId="7542900D">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36A821A0">
            <w:pPr>
              <w:keepNext/>
              <w:keepLines/>
              <w:spacing w:before="0" w:after="0" w:line="240" w:lineRule="auto"/>
              <w:jc w:val="left"/>
            </w:pPr>
            <w:r>
              <w:rPr>
                <w:rFonts w:ascii="Times New Roman" w:hAnsi="Times New Roman"/>
                <w:sz w:val="18"/>
              </w:rPr>
              <w:t>8</w:t>
            </w:r>
          </w:p>
        </w:tc>
        <w:tc>
          <w:tcPr>
            <w:tcMar>
              <w:top w:w="0" w:type="dxa"/>
              <w:bottom w:w="0" w:type="dxa"/>
            </w:tcMar>
            <w:vAlign w:val="center"/>
          </w:tcPr>
          <w:p w14:paraId="2A1BC54F">
            <w:pPr>
              <w:keepNext/>
              <w:keepLines/>
              <w:spacing w:before="0" w:after="0" w:line="240" w:lineRule="auto"/>
              <w:jc w:val="left"/>
            </w:pPr>
            <w:r>
              <w:rPr>
                <w:rFonts w:ascii="Times New Roman" w:hAnsi="Times New Roman"/>
                <w:sz w:val="18"/>
              </w:rPr>
              <w:t>Primici od financijske imovine i zaduživanja (šifre 81+82+83+84+85)</w:t>
            </w:r>
          </w:p>
        </w:tc>
        <w:tc>
          <w:tcPr>
            <w:tcMar>
              <w:top w:w="0" w:type="dxa"/>
              <w:bottom w:w="0" w:type="dxa"/>
            </w:tcMar>
            <w:vAlign w:val="center"/>
          </w:tcPr>
          <w:p w14:paraId="37D1288C">
            <w:pPr>
              <w:keepNext/>
              <w:keepLines/>
              <w:spacing w:before="0" w:after="0" w:line="240" w:lineRule="auto"/>
              <w:jc w:val="left"/>
            </w:pPr>
            <w:r>
              <w:rPr>
                <w:rFonts w:ascii="Times New Roman" w:hAnsi="Times New Roman"/>
                <w:sz w:val="18"/>
              </w:rPr>
              <w:t>8</w:t>
            </w:r>
          </w:p>
        </w:tc>
        <w:tc>
          <w:tcPr>
            <w:tcMar>
              <w:top w:w="0" w:type="dxa"/>
              <w:bottom w:w="0" w:type="dxa"/>
            </w:tcMar>
            <w:vAlign w:val="center"/>
          </w:tcPr>
          <w:p w14:paraId="576F6430">
            <w:pPr>
              <w:keepNext/>
              <w:keepLines/>
              <w:spacing w:before="0" w:after="0" w:line="240" w:lineRule="auto"/>
              <w:jc w:val="right"/>
            </w:pPr>
            <w:r>
              <w:rPr>
                <w:rFonts w:ascii="Times New Roman" w:hAnsi="Times New Roman"/>
                <w:sz w:val="18"/>
              </w:rPr>
              <w:t>0,00</w:t>
            </w:r>
          </w:p>
        </w:tc>
        <w:tc>
          <w:tcPr>
            <w:tcMar>
              <w:top w:w="0" w:type="dxa"/>
              <w:bottom w:w="0" w:type="dxa"/>
            </w:tcMar>
            <w:vAlign w:val="center"/>
          </w:tcPr>
          <w:p w14:paraId="28B85960">
            <w:pPr>
              <w:keepNext/>
              <w:keepLines/>
              <w:spacing w:before="0" w:after="0" w:line="240" w:lineRule="auto"/>
              <w:jc w:val="right"/>
            </w:pPr>
            <w:r>
              <w:rPr>
                <w:rFonts w:ascii="Times New Roman" w:hAnsi="Times New Roman"/>
                <w:sz w:val="18"/>
              </w:rPr>
              <w:t>0,00</w:t>
            </w:r>
          </w:p>
        </w:tc>
        <w:tc>
          <w:tcPr>
            <w:tcMar>
              <w:top w:w="0" w:type="dxa"/>
              <w:bottom w:w="0" w:type="dxa"/>
            </w:tcMar>
            <w:vAlign w:val="center"/>
          </w:tcPr>
          <w:p w14:paraId="2A857953">
            <w:pPr>
              <w:keepNext/>
              <w:keepLines/>
              <w:spacing w:before="0" w:after="0" w:line="240" w:lineRule="auto"/>
              <w:jc w:val="right"/>
            </w:pPr>
            <w:r>
              <w:rPr>
                <w:rFonts w:ascii="Times New Roman" w:hAnsi="Times New Roman"/>
                <w:sz w:val="18"/>
              </w:rPr>
              <w:t>-</w:t>
            </w:r>
          </w:p>
        </w:tc>
      </w:tr>
      <w:tr w14:paraId="2E13E0EC">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091DC429">
            <w:pPr>
              <w:keepNext/>
              <w:keepLines/>
              <w:spacing w:before="0" w:after="0" w:line="240" w:lineRule="auto"/>
              <w:jc w:val="left"/>
            </w:pPr>
            <w:r>
              <w:rPr>
                <w:rFonts w:ascii="Times New Roman" w:hAnsi="Times New Roman"/>
                <w:sz w:val="18"/>
              </w:rPr>
              <w:t>5</w:t>
            </w:r>
          </w:p>
        </w:tc>
        <w:tc>
          <w:tcPr>
            <w:tcMar>
              <w:top w:w="0" w:type="dxa"/>
              <w:bottom w:w="0" w:type="dxa"/>
            </w:tcMar>
            <w:vAlign w:val="center"/>
          </w:tcPr>
          <w:p w14:paraId="2A7C0F03">
            <w:pPr>
              <w:keepNext/>
              <w:keepLines/>
              <w:spacing w:before="0" w:after="0" w:line="240" w:lineRule="auto"/>
              <w:jc w:val="left"/>
            </w:pPr>
            <w:r>
              <w:rPr>
                <w:rFonts w:ascii="Times New Roman" w:hAnsi="Times New Roman"/>
                <w:sz w:val="18"/>
              </w:rPr>
              <w:t>Izdaci za financijsku imovinu i otplate zajmova (šifre 51+52+53+54+55)</w:t>
            </w:r>
          </w:p>
        </w:tc>
        <w:tc>
          <w:tcPr>
            <w:tcMar>
              <w:top w:w="0" w:type="dxa"/>
              <w:bottom w:w="0" w:type="dxa"/>
            </w:tcMar>
            <w:vAlign w:val="center"/>
          </w:tcPr>
          <w:p w14:paraId="25C7D636">
            <w:pPr>
              <w:keepNext/>
              <w:keepLines/>
              <w:spacing w:before="0" w:after="0" w:line="240" w:lineRule="auto"/>
              <w:jc w:val="left"/>
            </w:pPr>
            <w:r>
              <w:rPr>
                <w:rFonts w:ascii="Times New Roman" w:hAnsi="Times New Roman"/>
                <w:sz w:val="18"/>
              </w:rPr>
              <w:t>5</w:t>
            </w:r>
          </w:p>
        </w:tc>
        <w:tc>
          <w:tcPr>
            <w:tcMar>
              <w:top w:w="0" w:type="dxa"/>
              <w:bottom w:w="0" w:type="dxa"/>
            </w:tcMar>
            <w:vAlign w:val="center"/>
          </w:tcPr>
          <w:p w14:paraId="0C39A14D">
            <w:pPr>
              <w:keepNext/>
              <w:keepLines/>
              <w:spacing w:before="0" w:after="0" w:line="240" w:lineRule="auto"/>
              <w:jc w:val="right"/>
            </w:pPr>
            <w:r>
              <w:rPr>
                <w:rFonts w:ascii="Times New Roman" w:hAnsi="Times New Roman"/>
                <w:sz w:val="18"/>
              </w:rPr>
              <w:t>0,00</w:t>
            </w:r>
          </w:p>
        </w:tc>
        <w:tc>
          <w:tcPr>
            <w:tcMar>
              <w:top w:w="0" w:type="dxa"/>
              <w:bottom w:w="0" w:type="dxa"/>
            </w:tcMar>
            <w:vAlign w:val="center"/>
          </w:tcPr>
          <w:p w14:paraId="5F8529C0">
            <w:pPr>
              <w:keepNext/>
              <w:keepLines/>
              <w:spacing w:before="0" w:after="0" w:line="240" w:lineRule="auto"/>
              <w:jc w:val="right"/>
            </w:pPr>
            <w:r>
              <w:rPr>
                <w:rFonts w:ascii="Times New Roman" w:hAnsi="Times New Roman"/>
                <w:sz w:val="18"/>
              </w:rPr>
              <w:t>0,00</w:t>
            </w:r>
          </w:p>
        </w:tc>
        <w:tc>
          <w:tcPr>
            <w:tcMar>
              <w:top w:w="0" w:type="dxa"/>
              <w:bottom w:w="0" w:type="dxa"/>
            </w:tcMar>
            <w:vAlign w:val="center"/>
          </w:tcPr>
          <w:p w14:paraId="2951392D">
            <w:pPr>
              <w:keepNext/>
              <w:keepLines/>
              <w:spacing w:before="0" w:after="0" w:line="240" w:lineRule="auto"/>
              <w:jc w:val="right"/>
            </w:pPr>
            <w:r>
              <w:rPr>
                <w:rFonts w:ascii="Times New Roman" w:hAnsi="Times New Roman"/>
                <w:sz w:val="18"/>
              </w:rPr>
              <w:t>-</w:t>
            </w:r>
          </w:p>
        </w:tc>
      </w:tr>
      <w:tr w14:paraId="3F7364F6">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10494DDB">
            <w:pPr>
              <w:keepNext/>
              <w:keepLines/>
              <w:spacing w:before="0" w:after="0" w:line="240" w:lineRule="auto"/>
              <w:jc w:val="left"/>
            </w:pPr>
          </w:p>
        </w:tc>
        <w:tc>
          <w:tcPr>
            <w:tcMar>
              <w:top w:w="0" w:type="dxa"/>
              <w:bottom w:w="0" w:type="dxa"/>
            </w:tcMar>
            <w:vAlign w:val="center"/>
          </w:tcPr>
          <w:p w14:paraId="7753D78B">
            <w:pPr>
              <w:keepNext/>
              <w:keepLines/>
              <w:spacing w:before="0" w:after="0" w:line="240" w:lineRule="auto"/>
              <w:jc w:val="left"/>
            </w:pPr>
            <w:r>
              <w:rPr>
                <w:rFonts w:ascii="Times New Roman" w:hAnsi="Times New Roman"/>
                <w:b/>
                <w:sz w:val="18"/>
              </w:rPr>
              <w:t>VIŠAK/MANJAK PRIMITAKA OD FINANCIJSKE IMOVINE I ZADUŽIVANJA (šifre 8-5, 5-8)</w:t>
            </w:r>
          </w:p>
        </w:tc>
        <w:tc>
          <w:tcPr>
            <w:tcMar>
              <w:top w:w="0" w:type="dxa"/>
              <w:bottom w:w="0" w:type="dxa"/>
            </w:tcMar>
            <w:vAlign w:val="center"/>
          </w:tcPr>
          <w:p w14:paraId="2001FF68">
            <w:pPr>
              <w:keepNext/>
              <w:keepLines/>
              <w:spacing w:before="0" w:after="0" w:line="240" w:lineRule="auto"/>
              <w:jc w:val="left"/>
            </w:pPr>
            <w:r>
              <w:rPr>
                <w:rFonts w:ascii="Times New Roman" w:hAnsi="Times New Roman"/>
                <w:b/>
                <w:sz w:val="18"/>
              </w:rPr>
              <w:t>X003, Y003</w:t>
            </w:r>
          </w:p>
        </w:tc>
        <w:tc>
          <w:tcPr>
            <w:tcMar>
              <w:top w:w="0" w:type="dxa"/>
              <w:bottom w:w="0" w:type="dxa"/>
            </w:tcMar>
            <w:vAlign w:val="center"/>
          </w:tcPr>
          <w:p w14:paraId="3ED60CDC">
            <w:pPr>
              <w:keepNext/>
              <w:keepLines/>
              <w:spacing w:before="0" w:after="0" w:line="240" w:lineRule="auto"/>
              <w:jc w:val="right"/>
            </w:pPr>
            <w:r>
              <w:rPr>
                <w:rFonts w:ascii="Times New Roman" w:hAnsi="Times New Roman"/>
                <w:b/>
                <w:sz w:val="18"/>
              </w:rPr>
              <w:t>0,00</w:t>
            </w:r>
          </w:p>
        </w:tc>
        <w:tc>
          <w:tcPr>
            <w:tcMar>
              <w:top w:w="0" w:type="dxa"/>
              <w:bottom w:w="0" w:type="dxa"/>
            </w:tcMar>
            <w:vAlign w:val="center"/>
          </w:tcPr>
          <w:p w14:paraId="73E4FA09">
            <w:pPr>
              <w:keepNext/>
              <w:keepLines/>
              <w:spacing w:before="0" w:after="0" w:line="240" w:lineRule="auto"/>
              <w:jc w:val="right"/>
            </w:pPr>
            <w:r>
              <w:rPr>
                <w:rFonts w:ascii="Times New Roman" w:hAnsi="Times New Roman"/>
                <w:b/>
                <w:sz w:val="18"/>
              </w:rPr>
              <w:t>0,00</w:t>
            </w:r>
          </w:p>
        </w:tc>
        <w:tc>
          <w:tcPr>
            <w:tcMar>
              <w:top w:w="0" w:type="dxa"/>
              <w:bottom w:w="0" w:type="dxa"/>
            </w:tcMar>
            <w:vAlign w:val="center"/>
          </w:tcPr>
          <w:p w14:paraId="3B31F503">
            <w:pPr>
              <w:keepNext/>
              <w:keepLines/>
              <w:spacing w:before="0" w:after="0" w:line="240" w:lineRule="auto"/>
              <w:jc w:val="right"/>
            </w:pPr>
            <w:r>
              <w:rPr>
                <w:rFonts w:ascii="Times New Roman" w:hAnsi="Times New Roman"/>
                <w:b/>
                <w:sz w:val="18"/>
              </w:rPr>
              <w:t>-</w:t>
            </w:r>
          </w:p>
        </w:tc>
      </w:tr>
      <w:tr w14:paraId="70560581">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708C1C87">
            <w:pPr>
              <w:keepNext/>
              <w:keepLines/>
              <w:spacing w:before="0" w:after="0" w:line="240" w:lineRule="auto"/>
              <w:jc w:val="left"/>
            </w:pPr>
          </w:p>
        </w:tc>
        <w:tc>
          <w:tcPr>
            <w:tcMar>
              <w:top w:w="0" w:type="dxa"/>
              <w:bottom w:w="0" w:type="dxa"/>
            </w:tcMar>
            <w:vAlign w:val="center"/>
          </w:tcPr>
          <w:p w14:paraId="1C754A03">
            <w:pPr>
              <w:keepNext/>
              <w:keepLines/>
              <w:spacing w:before="0" w:after="0" w:line="240" w:lineRule="auto"/>
              <w:jc w:val="left"/>
            </w:pPr>
            <w:r>
              <w:rPr>
                <w:rFonts w:ascii="Times New Roman" w:hAnsi="Times New Roman"/>
                <w:b/>
                <w:sz w:val="18"/>
              </w:rPr>
              <w:t>MANJAK PRIHODA I PRIMITAKA (šifre Y345-X678)</w:t>
            </w:r>
          </w:p>
        </w:tc>
        <w:tc>
          <w:tcPr>
            <w:tcMar>
              <w:top w:w="0" w:type="dxa"/>
              <w:bottom w:w="0" w:type="dxa"/>
            </w:tcMar>
            <w:vAlign w:val="center"/>
          </w:tcPr>
          <w:p w14:paraId="6F727230">
            <w:pPr>
              <w:keepNext/>
              <w:keepLines/>
              <w:spacing w:before="0" w:after="0" w:line="240" w:lineRule="auto"/>
              <w:jc w:val="left"/>
            </w:pPr>
            <w:r>
              <w:rPr>
                <w:rFonts w:ascii="Times New Roman" w:hAnsi="Times New Roman"/>
                <w:b/>
                <w:sz w:val="18"/>
              </w:rPr>
              <w:t>Y005</w:t>
            </w:r>
          </w:p>
        </w:tc>
        <w:tc>
          <w:tcPr>
            <w:tcMar>
              <w:top w:w="0" w:type="dxa"/>
              <w:bottom w:w="0" w:type="dxa"/>
            </w:tcMar>
            <w:vAlign w:val="center"/>
          </w:tcPr>
          <w:p w14:paraId="48F72585">
            <w:pPr>
              <w:keepNext/>
              <w:keepLines/>
              <w:spacing w:before="0" w:after="0" w:line="240" w:lineRule="auto"/>
              <w:jc w:val="right"/>
            </w:pPr>
            <w:r>
              <w:rPr>
                <w:rFonts w:ascii="Times New Roman" w:hAnsi="Times New Roman"/>
                <w:b/>
                <w:sz w:val="18"/>
              </w:rPr>
              <w:t>59.552,55</w:t>
            </w:r>
          </w:p>
        </w:tc>
        <w:tc>
          <w:tcPr>
            <w:tcMar>
              <w:top w:w="0" w:type="dxa"/>
              <w:bottom w:w="0" w:type="dxa"/>
            </w:tcMar>
            <w:vAlign w:val="center"/>
          </w:tcPr>
          <w:p w14:paraId="540A765C">
            <w:pPr>
              <w:keepNext/>
              <w:keepLines/>
              <w:spacing w:before="0" w:after="0" w:line="240" w:lineRule="auto"/>
              <w:jc w:val="right"/>
            </w:pPr>
            <w:r>
              <w:rPr>
                <w:rFonts w:ascii="Times New Roman" w:hAnsi="Times New Roman"/>
                <w:b/>
                <w:sz w:val="18"/>
              </w:rPr>
              <w:t>38.249,64</w:t>
            </w:r>
          </w:p>
        </w:tc>
        <w:tc>
          <w:tcPr>
            <w:tcMar>
              <w:top w:w="0" w:type="dxa"/>
              <w:bottom w:w="0" w:type="dxa"/>
            </w:tcMar>
            <w:vAlign w:val="center"/>
          </w:tcPr>
          <w:p w14:paraId="47B85B84">
            <w:pPr>
              <w:keepNext/>
              <w:keepLines/>
              <w:spacing w:before="0" w:after="0" w:line="240" w:lineRule="auto"/>
              <w:jc w:val="right"/>
            </w:pPr>
            <w:r>
              <w:rPr>
                <w:rFonts w:ascii="Times New Roman" w:hAnsi="Times New Roman"/>
                <w:b/>
                <w:sz w:val="18"/>
              </w:rPr>
              <w:t>64,2</w:t>
            </w:r>
          </w:p>
        </w:tc>
      </w:tr>
    </w:tbl>
    <w:p w14:paraId="2D05CA3A">
      <w:pPr>
        <w:spacing w:before="0" w:after="0"/>
      </w:pPr>
    </w:p>
    <w:p w14:paraId="53E0B2FE">
      <w:r>
        <w:t>U izvještajnom razdoblju od 1.1.2026.god. do 30.6.2026.god. ukupno ostvareni prihodi manji su od ukupno ostvarenih rashoda što je dovelo do manjka u iznosu od 38.249,64 eura. Ukupne prihode škole čine sredstva od MZOM-a, Karlovačke županije, Grada Duge Rese, donacije, prihodi roditelja za produženi boravak te prihodi korisnika školske sportske dvorane. Ukupne rashodi odnose se na rashode za zaposlene, materijalne rashode, rashode za donacije, te rashode za nabavu nepoizvedene dugotrajne imovine. Razlog nastalog manjka u ovom obračunskom razdoblju je to što su knjiženi troškovi po računima za koje u ovom izvještajnom razdoblju nismo primili prihode kao i knjiženje troška plaće djelatnika za lipanj 2026.god. Obzirom na preneseni manjak za razdoblje 1.1.-31.12.2025.god. koji je iznosio 120.396,39 eura, a za koji uvećavamo nastali manjak ovog izvještajnog razdodblja, ukupni manjak na dan 30.6.2026.god. iznosi 158.646,03 eura.</w:t>
      </w:r>
    </w:p>
    <w:p w14:paraId="16E13CEC">
      <w:r>
        <w:br w:type="textWrapping"/>
      </w:r>
    </w:p>
    <w:p w14:paraId="3A6A8D3B">
      <w:pPr>
        <w:keepNext/>
        <w:spacing w:line="240" w:lineRule="auto"/>
        <w:jc w:val="center"/>
      </w:pPr>
      <w:r>
        <w:rPr>
          <w:rFonts w:ascii="Times New Roman" w:hAnsi="Times New Roman"/>
          <w:sz w:val="28"/>
        </w:rPr>
        <w:t>Bilješka 2.</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185A1181">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307933A2">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69C216BC">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38542EB5">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32880448">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18C9A803">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738AAA8E">
            <w:pPr>
              <w:keepNext/>
              <w:keepLines/>
              <w:spacing w:before="0" w:after="0" w:line="240" w:lineRule="auto"/>
              <w:jc w:val="center"/>
            </w:pPr>
            <w:r>
              <w:rPr>
                <w:rFonts w:ascii="Times New Roman" w:hAnsi="Times New Roman"/>
                <w:b/>
                <w:sz w:val="18"/>
              </w:rPr>
              <w:t>Indeks (%)</w:t>
            </w:r>
          </w:p>
        </w:tc>
      </w:tr>
      <w:tr w14:paraId="3E67CC58">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32E82F9F">
            <w:pPr>
              <w:keepNext/>
              <w:keepLines/>
              <w:spacing w:before="0" w:after="0" w:line="240" w:lineRule="auto"/>
              <w:jc w:val="left"/>
            </w:pPr>
            <w:r>
              <w:rPr>
                <w:rFonts w:ascii="Times New Roman" w:hAnsi="Times New Roman"/>
                <w:sz w:val="18"/>
              </w:rPr>
              <w:t>6361</w:t>
            </w:r>
          </w:p>
        </w:tc>
        <w:tc>
          <w:tcPr>
            <w:tcMar>
              <w:top w:w="0" w:type="dxa"/>
              <w:bottom w:w="0" w:type="dxa"/>
            </w:tcMar>
            <w:vAlign w:val="center"/>
          </w:tcPr>
          <w:p w14:paraId="28667445">
            <w:pPr>
              <w:keepNext/>
              <w:keepLines/>
              <w:spacing w:before="0" w:after="0" w:line="240" w:lineRule="auto"/>
              <w:jc w:val="left"/>
            </w:pPr>
            <w:r>
              <w:rPr>
                <w:rFonts w:ascii="Times New Roman" w:hAnsi="Times New Roman"/>
                <w:sz w:val="18"/>
              </w:rPr>
              <w:t>Tekuće pomoći proračunskim korisnicima iz proračuna koji im nije nadležan</w:t>
            </w:r>
          </w:p>
        </w:tc>
        <w:tc>
          <w:tcPr>
            <w:tcMar>
              <w:top w:w="0" w:type="dxa"/>
              <w:bottom w:w="0" w:type="dxa"/>
            </w:tcMar>
            <w:vAlign w:val="center"/>
          </w:tcPr>
          <w:p w14:paraId="4276C606">
            <w:pPr>
              <w:keepNext/>
              <w:keepLines/>
              <w:spacing w:before="0" w:after="0" w:line="240" w:lineRule="auto"/>
              <w:jc w:val="left"/>
            </w:pPr>
            <w:r>
              <w:rPr>
                <w:rFonts w:ascii="Times New Roman" w:hAnsi="Times New Roman"/>
                <w:sz w:val="18"/>
              </w:rPr>
              <w:t>6361</w:t>
            </w:r>
          </w:p>
        </w:tc>
        <w:tc>
          <w:tcPr>
            <w:tcMar>
              <w:top w:w="0" w:type="dxa"/>
              <w:bottom w:w="0" w:type="dxa"/>
            </w:tcMar>
            <w:vAlign w:val="center"/>
          </w:tcPr>
          <w:p w14:paraId="5C35D92D">
            <w:pPr>
              <w:keepNext/>
              <w:keepLines/>
              <w:spacing w:before="0" w:after="0" w:line="240" w:lineRule="auto"/>
              <w:jc w:val="right"/>
            </w:pPr>
            <w:r>
              <w:rPr>
                <w:rFonts w:ascii="Times New Roman" w:hAnsi="Times New Roman"/>
                <w:sz w:val="18"/>
              </w:rPr>
              <w:t>813.078,72</w:t>
            </w:r>
          </w:p>
        </w:tc>
        <w:tc>
          <w:tcPr>
            <w:tcMar>
              <w:top w:w="0" w:type="dxa"/>
              <w:bottom w:w="0" w:type="dxa"/>
            </w:tcMar>
            <w:vAlign w:val="center"/>
          </w:tcPr>
          <w:p w14:paraId="4B7D7D07">
            <w:pPr>
              <w:keepNext/>
              <w:keepLines/>
              <w:spacing w:before="0" w:after="0" w:line="240" w:lineRule="auto"/>
              <w:jc w:val="right"/>
            </w:pPr>
            <w:r>
              <w:rPr>
                <w:rFonts w:ascii="Times New Roman" w:hAnsi="Times New Roman"/>
                <w:sz w:val="18"/>
              </w:rPr>
              <w:t>871.471,37</w:t>
            </w:r>
          </w:p>
        </w:tc>
        <w:tc>
          <w:tcPr>
            <w:tcMar>
              <w:top w:w="0" w:type="dxa"/>
              <w:bottom w:w="0" w:type="dxa"/>
            </w:tcMar>
            <w:vAlign w:val="center"/>
          </w:tcPr>
          <w:p w14:paraId="21A3B696">
            <w:pPr>
              <w:keepNext/>
              <w:keepLines/>
              <w:spacing w:before="0" w:after="0" w:line="240" w:lineRule="auto"/>
              <w:jc w:val="right"/>
            </w:pPr>
            <w:r>
              <w:rPr>
                <w:rFonts w:ascii="Times New Roman" w:hAnsi="Times New Roman"/>
                <w:sz w:val="18"/>
              </w:rPr>
              <w:t>107,2</w:t>
            </w:r>
          </w:p>
        </w:tc>
      </w:tr>
    </w:tbl>
    <w:p w14:paraId="2935F8F2">
      <w:pPr>
        <w:spacing w:before="0" w:after="0"/>
      </w:pPr>
    </w:p>
    <w:p w14:paraId="55FEB3E3">
      <w:r>
        <w:t>Povećanje plaća djelatnicima u javnim i državnim službama, kao i veći broj isplate materijalnih prava u odnosu na isto razdoblje prošle godine dovelo je do blagog porasta prihoda.</w:t>
      </w:r>
    </w:p>
    <w:p w14:paraId="5F4A1018"/>
    <w:p w14:paraId="43C9E762">
      <w:pPr>
        <w:keepNext/>
        <w:spacing w:line="240" w:lineRule="auto"/>
        <w:jc w:val="center"/>
      </w:pPr>
      <w:r>
        <w:rPr>
          <w:rFonts w:ascii="Times New Roman" w:hAnsi="Times New Roman"/>
          <w:sz w:val="28"/>
        </w:rPr>
        <w:t>Bilješka 3.</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23E899D2">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113FA990">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03A26D86">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583D98A9">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0F9DF141">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7BD89E49">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2916DE99">
            <w:pPr>
              <w:keepNext/>
              <w:keepLines/>
              <w:spacing w:before="0" w:after="0" w:line="240" w:lineRule="auto"/>
              <w:jc w:val="center"/>
            </w:pPr>
            <w:r>
              <w:rPr>
                <w:rFonts w:ascii="Times New Roman" w:hAnsi="Times New Roman"/>
                <w:b/>
                <w:sz w:val="18"/>
              </w:rPr>
              <w:t>Indeks (%)</w:t>
            </w:r>
          </w:p>
        </w:tc>
      </w:tr>
      <w:tr w14:paraId="29869DED">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161BF3CE">
            <w:pPr>
              <w:keepNext/>
              <w:keepLines/>
              <w:spacing w:before="0" w:after="0" w:line="240" w:lineRule="auto"/>
              <w:jc w:val="left"/>
            </w:pPr>
            <w:r>
              <w:rPr>
                <w:rFonts w:ascii="Times New Roman" w:hAnsi="Times New Roman"/>
                <w:sz w:val="18"/>
              </w:rPr>
              <w:t>6362</w:t>
            </w:r>
          </w:p>
        </w:tc>
        <w:tc>
          <w:tcPr>
            <w:tcMar>
              <w:top w:w="0" w:type="dxa"/>
              <w:bottom w:w="0" w:type="dxa"/>
            </w:tcMar>
            <w:vAlign w:val="center"/>
          </w:tcPr>
          <w:p w14:paraId="61B0136E">
            <w:pPr>
              <w:keepNext/>
              <w:keepLines/>
              <w:spacing w:before="0" w:after="0" w:line="240" w:lineRule="auto"/>
              <w:jc w:val="left"/>
            </w:pPr>
            <w:r>
              <w:rPr>
                <w:rFonts w:ascii="Times New Roman" w:hAnsi="Times New Roman"/>
                <w:sz w:val="18"/>
              </w:rPr>
              <w:t>Kapitalne pomoći proračunskim korisnicima iz proračuna koji im nije nadležan</w:t>
            </w:r>
          </w:p>
        </w:tc>
        <w:tc>
          <w:tcPr>
            <w:tcMar>
              <w:top w:w="0" w:type="dxa"/>
              <w:bottom w:w="0" w:type="dxa"/>
            </w:tcMar>
            <w:vAlign w:val="center"/>
          </w:tcPr>
          <w:p w14:paraId="70E89D7B">
            <w:pPr>
              <w:keepNext/>
              <w:keepLines/>
              <w:spacing w:before="0" w:after="0" w:line="240" w:lineRule="auto"/>
              <w:jc w:val="left"/>
            </w:pPr>
            <w:r>
              <w:rPr>
                <w:rFonts w:ascii="Times New Roman" w:hAnsi="Times New Roman"/>
                <w:sz w:val="18"/>
              </w:rPr>
              <w:t>6362</w:t>
            </w:r>
          </w:p>
        </w:tc>
        <w:tc>
          <w:tcPr>
            <w:tcMar>
              <w:top w:w="0" w:type="dxa"/>
              <w:bottom w:w="0" w:type="dxa"/>
            </w:tcMar>
            <w:vAlign w:val="center"/>
          </w:tcPr>
          <w:p w14:paraId="0AE9CF69">
            <w:pPr>
              <w:keepNext/>
              <w:keepLines/>
              <w:spacing w:before="0" w:after="0" w:line="240" w:lineRule="auto"/>
              <w:jc w:val="right"/>
            </w:pPr>
            <w:r>
              <w:rPr>
                <w:rFonts w:ascii="Times New Roman" w:hAnsi="Times New Roman"/>
                <w:sz w:val="18"/>
              </w:rPr>
              <w:t>0,00</w:t>
            </w:r>
          </w:p>
        </w:tc>
        <w:tc>
          <w:tcPr>
            <w:tcMar>
              <w:top w:w="0" w:type="dxa"/>
              <w:bottom w:w="0" w:type="dxa"/>
            </w:tcMar>
            <w:vAlign w:val="center"/>
          </w:tcPr>
          <w:p w14:paraId="1C5DBEC3">
            <w:pPr>
              <w:keepNext/>
              <w:keepLines/>
              <w:spacing w:before="0" w:after="0" w:line="240" w:lineRule="auto"/>
              <w:jc w:val="right"/>
            </w:pPr>
            <w:r>
              <w:rPr>
                <w:rFonts w:ascii="Times New Roman" w:hAnsi="Times New Roman"/>
                <w:sz w:val="18"/>
              </w:rPr>
              <w:t>3.634,55</w:t>
            </w:r>
          </w:p>
        </w:tc>
        <w:tc>
          <w:tcPr>
            <w:tcMar>
              <w:top w:w="0" w:type="dxa"/>
              <w:bottom w:w="0" w:type="dxa"/>
            </w:tcMar>
            <w:vAlign w:val="center"/>
          </w:tcPr>
          <w:p w14:paraId="4C4FC03B">
            <w:pPr>
              <w:keepNext/>
              <w:keepLines/>
              <w:spacing w:before="0" w:after="0" w:line="240" w:lineRule="auto"/>
              <w:jc w:val="right"/>
            </w:pPr>
            <w:r>
              <w:rPr>
                <w:rFonts w:ascii="Times New Roman" w:hAnsi="Times New Roman"/>
                <w:sz w:val="18"/>
              </w:rPr>
              <w:t>-</w:t>
            </w:r>
          </w:p>
        </w:tc>
      </w:tr>
    </w:tbl>
    <w:p w14:paraId="50B00F10">
      <w:pPr>
        <w:spacing w:before="0" w:after="0"/>
      </w:pPr>
    </w:p>
    <w:p w14:paraId="1BBFBBB7">
      <w:r>
        <w:t>Ove godine smo primili sredstva iz državnog proračuna za potrebe rada psihologa škole što je vidljivo na ovom kontu prihoda.</w:t>
      </w:r>
    </w:p>
    <w:p w14:paraId="034F612A"/>
    <w:p w14:paraId="23BB696A">
      <w:pPr>
        <w:keepNext/>
        <w:spacing w:line="240" w:lineRule="auto"/>
        <w:jc w:val="center"/>
      </w:pPr>
      <w:r>
        <w:rPr>
          <w:rFonts w:ascii="Times New Roman" w:hAnsi="Times New Roman"/>
          <w:sz w:val="28"/>
        </w:rPr>
        <w:t>Bilješka 4.</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47B2B923">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4DF536DF">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0B118CAD">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6C7288B4">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46FBB474">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24F43BD9">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05246456">
            <w:pPr>
              <w:keepNext/>
              <w:keepLines/>
              <w:spacing w:before="0" w:after="0" w:line="240" w:lineRule="auto"/>
              <w:jc w:val="center"/>
            </w:pPr>
            <w:r>
              <w:rPr>
                <w:rFonts w:ascii="Times New Roman" w:hAnsi="Times New Roman"/>
                <w:b/>
                <w:sz w:val="18"/>
              </w:rPr>
              <w:t>Indeks (%)</w:t>
            </w:r>
          </w:p>
        </w:tc>
      </w:tr>
      <w:tr w14:paraId="740FE15D">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26F15019">
            <w:pPr>
              <w:keepNext/>
              <w:keepLines/>
              <w:spacing w:before="0" w:after="0" w:line="240" w:lineRule="auto"/>
              <w:jc w:val="left"/>
            </w:pPr>
            <w:r>
              <w:rPr>
                <w:rFonts w:ascii="Times New Roman" w:hAnsi="Times New Roman"/>
                <w:sz w:val="18"/>
              </w:rPr>
              <w:t>6381</w:t>
            </w:r>
          </w:p>
        </w:tc>
        <w:tc>
          <w:tcPr>
            <w:tcMar>
              <w:top w:w="0" w:type="dxa"/>
              <w:bottom w:w="0" w:type="dxa"/>
            </w:tcMar>
            <w:vAlign w:val="center"/>
          </w:tcPr>
          <w:p w14:paraId="0889BC1A">
            <w:pPr>
              <w:keepNext/>
              <w:keepLines/>
              <w:spacing w:before="0" w:after="0" w:line="240" w:lineRule="auto"/>
              <w:jc w:val="left"/>
            </w:pPr>
            <w:r>
              <w:rPr>
                <w:rFonts w:ascii="Times New Roman" w:hAnsi="Times New Roman"/>
                <w:sz w:val="18"/>
              </w:rPr>
              <w:t>Tekuće pomoći temeljem prijenosa EU sredstava</w:t>
            </w:r>
          </w:p>
        </w:tc>
        <w:tc>
          <w:tcPr>
            <w:tcMar>
              <w:top w:w="0" w:type="dxa"/>
              <w:bottom w:w="0" w:type="dxa"/>
            </w:tcMar>
            <w:vAlign w:val="center"/>
          </w:tcPr>
          <w:p w14:paraId="08EE33E2">
            <w:pPr>
              <w:keepNext/>
              <w:keepLines/>
              <w:spacing w:before="0" w:after="0" w:line="240" w:lineRule="auto"/>
              <w:jc w:val="left"/>
            </w:pPr>
            <w:r>
              <w:rPr>
                <w:rFonts w:ascii="Times New Roman" w:hAnsi="Times New Roman"/>
                <w:sz w:val="18"/>
              </w:rPr>
              <w:t>6381</w:t>
            </w:r>
          </w:p>
        </w:tc>
        <w:tc>
          <w:tcPr>
            <w:tcMar>
              <w:top w:w="0" w:type="dxa"/>
              <w:bottom w:w="0" w:type="dxa"/>
            </w:tcMar>
            <w:vAlign w:val="center"/>
          </w:tcPr>
          <w:p w14:paraId="3165BC97">
            <w:pPr>
              <w:keepNext/>
              <w:keepLines/>
              <w:spacing w:before="0" w:after="0" w:line="240" w:lineRule="auto"/>
              <w:jc w:val="right"/>
            </w:pPr>
            <w:r>
              <w:rPr>
                <w:rFonts w:ascii="Times New Roman" w:hAnsi="Times New Roman"/>
                <w:sz w:val="18"/>
              </w:rPr>
              <w:t>50.184,80</w:t>
            </w:r>
          </w:p>
        </w:tc>
        <w:tc>
          <w:tcPr>
            <w:tcMar>
              <w:top w:w="0" w:type="dxa"/>
              <w:bottom w:w="0" w:type="dxa"/>
            </w:tcMar>
            <w:vAlign w:val="center"/>
          </w:tcPr>
          <w:p w14:paraId="5D7AEDA8">
            <w:pPr>
              <w:keepNext/>
              <w:keepLines/>
              <w:spacing w:before="0" w:after="0" w:line="240" w:lineRule="auto"/>
              <w:jc w:val="right"/>
            </w:pPr>
            <w:r>
              <w:rPr>
                <w:rFonts w:ascii="Times New Roman" w:hAnsi="Times New Roman"/>
                <w:sz w:val="18"/>
              </w:rPr>
              <w:t>0,00</w:t>
            </w:r>
          </w:p>
        </w:tc>
        <w:tc>
          <w:tcPr>
            <w:tcMar>
              <w:top w:w="0" w:type="dxa"/>
              <w:bottom w:w="0" w:type="dxa"/>
            </w:tcMar>
            <w:vAlign w:val="center"/>
          </w:tcPr>
          <w:p w14:paraId="574FBE7B">
            <w:pPr>
              <w:keepNext/>
              <w:keepLines/>
              <w:spacing w:before="0" w:after="0" w:line="240" w:lineRule="auto"/>
              <w:jc w:val="right"/>
            </w:pPr>
            <w:r>
              <w:rPr>
                <w:rFonts w:ascii="Times New Roman" w:hAnsi="Times New Roman"/>
                <w:sz w:val="18"/>
              </w:rPr>
              <w:t>0</w:t>
            </w:r>
          </w:p>
        </w:tc>
      </w:tr>
    </w:tbl>
    <w:p w14:paraId="4C5A568D">
      <w:pPr>
        <w:spacing w:before="0" w:after="0"/>
      </w:pPr>
    </w:p>
    <w:p w14:paraId="0633EA1D">
      <w:r>
        <w:t>Iako smo i u ovom razdoblju od Agencije za mobilnost zaprimili sredstva za Erasmus+ projekt, prema novim uputama za knjiženje istih ne koristimo više konto 6381 već su sredstva knjižena preko konta 27521 stoga je došlo do razlike u usporedbi sa istim razdobljem u prošloj godini. </w:t>
      </w:r>
    </w:p>
    <w:p w14:paraId="63D11504"/>
    <w:p w14:paraId="4A86694D">
      <w:pPr>
        <w:keepNext/>
        <w:spacing w:line="240" w:lineRule="auto"/>
        <w:jc w:val="center"/>
      </w:pPr>
      <w:r>
        <w:rPr>
          <w:rFonts w:ascii="Times New Roman" w:hAnsi="Times New Roman"/>
          <w:sz w:val="28"/>
        </w:rPr>
        <w:t>Bilješka 5.</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4D4144B0">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0B825E41">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7752A762">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6D2D5593">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1C3C0549">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6B2F51E7">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17E38EF3">
            <w:pPr>
              <w:keepNext/>
              <w:keepLines/>
              <w:spacing w:before="0" w:after="0" w:line="240" w:lineRule="auto"/>
              <w:jc w:val="center"/>
            </w:pPr>
            <w:r>
              <w:rPr>
                <w:rFonts w:ascii="Times New Roman" w:hAnsi="Times New Roman"/>
                <w:b/>
                <w:sz w:val="18"/>
              </w:rPr>
              <w:t>Indeks (%)</w:t>
            </w:r>
          </w:p>
        </w:tc>
      </w:tr>
      <w:tr w14:paraId="7862FC4D">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206EE2FD">
            <w:pPr>
              <w:keepNext/>
              <w:keepLines/>
              <w:spacing w:before="0" w:after="0" w:line="240" w:lineRule="auto"/>
              <w:jc w:val="left"/>
            </w:pPr>
            <w:r>
              <w:rPr>
                <w:rFonts w:ascii="Times New Roman" w:hAnsi="Times New Roman"/>
                <w:sz w:val="18"/>
              </w:rPr>
              <w:t>6615</w:t>
            </w:r>
          </w:p>
        </w:tc>
        <w:tc>
          <w:tcPr>
            <w:tcMar>
              <w:top w:w="0" w:type="dxa"/>
              <w:bottom w:w="0" w:type="dxa"/>
            </w:tcMar>
            <w:vAlign w:val="center"/>
          </w:tcPr>
          <w:p w14:paraId="3318A2D1">
            <w:pPr>
              <w:keepNext/>
              <w:keepLines/>
              <w:spacing w:before="0" w:after="0" w:line="240" w:lineRule="auto"/>
              <w:jc w:val="left"/>
            </w:pPr>
            <w:r>
              <w:rPr>
                <w:rFonts w:ascii="Times New Roman" w:hAnsi="Times New Roman"/>
                <w:sz w:val="18"/>
              </w:rPr>
              <w:t>Prihodi od pruženih usluga</w:t>
            </w:r>
          </w:p>
        </w:tc>
        <w:tc>
          <w:tcPr>
            <w:tcMar>
              <w:top w:w="0" w:type="dxa"/>
              <w:bottom w:w="0" w:type="dxa"/>
            </w:tcMar>
            <w:vAlign w:val="center"/>
          </w:tcPr>
          <w:p w14:paraId="2F9F7F48">
            <w:pPr>
              <w:keepNext/>
              <w:keepLines/>
              <w:spacing w:before="0" w:after="0" w:line="240" w:lineRule="auto"/>
              <w:jc w:val="left"/>
            </w:pPr>
            <w:r>
              <w:rPr>
                <w:rFonts w:ascii="Times New Roman" w:hAnsi="Times New Roman"/>
                <w:sz w:val="18"/>
              </w:rPr>
              <w:t>6615</w:t>
            </w:r>
          </w:p>
        </w:tc>
        <w:tc>
          <w:tcPr>
            <w:tcMar>
              <w:top w:w="0" w:type="dxa"/>
              <w:bottom w:w="0" w:type="dxa"/>
            </w:tcMar>
            <w:vAlign w:val="center"/>
          </w:tcPr>
          <w:p w14:paraId="482911E5">
            <w:pPr>
              <w:keepNext/>
              <w:keepLines/>
              <w:spacing w:before="0" w:after="0" w:line="240" w:lineRule="auto"/>
              <w:jc w:val="right"/>
            </w:pPr>
            <w:r>
              <w:rPr>
                <w:rFonts w:ascii="Times New Roman" w:hAnsi="Times New Roman"/>
                <w:sz w:val="18"/>
              </w:rPr>
              <w:t>7.985,10</w:t>
            </w:r>
          </w:p>
        </w:tc>
        <w:tc>
          <w:tcPr>
            <w:tcMar>
              <w:top w:w="0" w:type="dxa"/>
              <w:bottom w:w="0" w:type="dxa"/>
            </w:tcMar>
            <w:vAlign w:val="center"/>
          </w:tcPr>
          <w:p w14:paraId="39F06FE8">
            <w:pPr>
              <w:keepNext/>
              <w:keepLines/>
              <w:spacing w:before="0" w:after="0" w:line="240" w:lineRule="auto"/>
              <w:jc w:val="right"/>
            </w:pPr>
            <w:r>
              <w:rPr>
                <w:rFonts w:ascii="Times New Roman" w:hAnsi="Times New Roman"/>
                <w:sz w:val="18"/>
              </w:rPr>
              <w:t>10.418,40</w:t>
            </w:r>
          </w:p>
        </w:tc>
        <w:tc>
          <w:tcPr>
            <w:tcMar>
              <w:top w:w="0" w:type="dxa"/>
              <w:bottom w:w="0" w:type="dxa"/>
            </w:tcMar>
            <w:vAlign w:val="center"/>
          </w:tcPr>
          <w:p w14:paraId="1B05E683">
            <w:pPr>
              <w:keepNext/>
              <w:keepLines/>
              <w:spacing w:before="0" w:after="0" w:line="240" w:lineRule="auto"/>
              <w:jc w:val="right"/>
            </w:pPr>
            <w:r>
              <w:rPr>
                <w:rFonts w:ascii="Times New Roman" w:hAnsi="Times New Roman"/>
                <w:sz w:val="18"/>
              </w:rPr>
              <w:t>130,5</w:t>
            </w:r>
          </w:p>
        </w:tc>
      </w:tr>
    </w:tbl>
    <w:p w14:paraId="74433920">
      <w:pPr>
        <w:spacing w:before="0" w:after="0"/>
      </w:pPr>
    </w:p>
    <w:p w14:paraId="5CC41519">
      <w:r>
        <w:t>Povećanje broja korisnika najma školske sportske dvorane u usporedbi sa prošlom godinom u istom razdoblju, doveo je i do povećanja vlastitih prihoda škole.</w:t>
      </w:r>
    </w:p>
    <w:p w14:paraId="0B57369E"/>
    <w:p w14:paraId="34BBAA65">
      <w:pPr>
        <w:keepNext/>
        <w:spacing w:line="240" w:lineRule="auto"/>
        <w:jc w:val="center"/>
      </w:pPr>
      <w:r>
        <w:rPr>
          <w:rFonts w:ascii="Times New Roman" w:hAnsi="Times New Roman"/>
          <w:sz w:val="28"/>
        </w:rPr>
        <w:t>Bilješka 6.</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1B467D56">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5C3B5C2E">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0E5780FA">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66418E8A">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6425CF94">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118F7FC9">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71048B62">
            <w:pPr>
              <w:keepNext/>
              <w:keepLines/>
              <w:spacing w:before="0" w:after="0" w:line="240" w:lineRule="auto"/>
              <w:jc w:val="center"/>
            </w:pPr>
            <w:r>
              <w:rPr>
                <w:rFonts w:ascii="Times New Roman" w:hAnsi="Times New Roman"/>
                <w:b/>
                <w:sz w:val="18"/>
              </w:rPr>
              <w:t>Indeks (%)</w:t>
            </w:r>
          </w:p>
        </w:tc>
      </w:tr>
      <w:tr w14:paraId="004FE005">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7C04C21D">
            <w:pPr>
              <w:keepNext/>
              <w:keepLines/>
              <w:spacing w:before="0" w:after="0" w:line="240" w:lineRule="auto"/>
              <w:jc w:val="left"/>
            </w:pPr>
            <w:r>
              <w:rPr>
                <w:rFonts w:ascii="Times New Roman" w:hAnsi="Times New Roman"/>
                <w:sz w:val="18"/>
              </w:rPr>
              <w:t>6711</w:t>
            </w:r>
          </w:p>
        </w:tc>
        <w:tc>
          <w:tcPr>
            <w:tcMar>
              <w:top w:w="0" w:type="dxa"/>
              <w:bottom w:w="0" w:type="dxa"/>
            </w:tcMar>
            <w:vAlign w:val="center"/>
          </w:tcPr>
          <w:p w14:paraId="32E15972">
            <w:pPr>
              <w:keepNext/>
              <w:keepLines/>
              <w:spacing w:before="0" w:after="0" w:line="240" w:lineRule="auto"/>
              <w:jc w:val="left"/>
            </w:pPr>
            <w:r>
              <w:rPr>
                <w:rFonts w:ascii="Times New Roman" w:hAnsi="Times New Roman"/>
                <w:sz w:val="18"/>
              </w:rPr>
              <w:t>Prihodi iz nadležnog proračuna za financiranje rashoda poslovanja</w:t>
            </w:r>
          </w:p>
        </w:tc>
        <w:tc>
          <w:tcPr>
            <w:tcMar>
              <w:top w:w="0" w:type="dxa"/>
              <w:bottom w:w="0" w:type="dxa"/>
            </w:tcMar>
            <w:vAlign w:val="center"/>
          </w:tcPr>
          <w:p w14:paraId="4AC41B72">
            <w:pPr>
              <w:keepNext/>
              <w:keepLines/>
              <w:spacing w:before="0" w:after="0" w:line="240" w:lineRule="auto"/>
              <w:jc w:val="left"/>
            </w:pPr>
            <w:r>
              <w:rPr>
                <w:rFonts w:ascii="Times New Roman" w:hAnsi="Times New Roman"/>
                <w:sz w:val="18"/>
              </w:rPr>
              <w:t>6711</w:t>
            </w:r>
          </w:p>
        </w:tc>
        <w:tc>
          <w:tcPr>
            <w:tcMar>
              <w:top w:w="0" w:type="dxa"/>
              <w:bottom w:w="0" w:type="dxa"/>
            </w:tcMar>
            <w:vAlign w:val="center"/>
          </w:tcPr>
          <w:p w14:paraId="36835ECD">
            <w:pPr>
              <w:keepNext/>
              <w:keepLines/>
              <w:spacing w:before="0" w:after="0" w:line="240" w:lineRule="auto"/>
              <w:jc w:val="right"/>
            </w:pPr>
            <w:r>
              <w:rPr>
                <w:rFonts w:ascii="Times New Roman" w:hAnsi="Times New Roman"/>
                <w:sz w:val="18"/>
              </w:rPr>
              <w:t>145.957,68</w:t>
            </w:r>
          </w:p>
        </w:tc>
        <w:tc>
          <w:tcPr>
            <w:tcMar>
              <w:top w:w="0" w:type="dxa"/>
              <w:bottom w:w="0" w:type="dxa"/>
            </w:tcMar>
            <w:vAlign w:val="center"/>
          </w:tcPr>
          <w:p w14:paraId="0BA0B3EE">
            <w:pPr>
              <w:keepNext/>
              <w:keepLines/>
              <w:spacing w:before="0" w:after="0" w:line="240" w:lineRule="auto"/>
              <w:jc w:val="right"/>
            </w:pPr>
            <w:r>
              <w:rPr>
                <w:rFonts w:ascii="Times New Roman" w:hAnsi="Times New Roman"/>
                <w:sz w:val="18"/>
              </w:rPr>
              <w:t>170.492,05</w:t>
            </w:r>
          </w:p>
        </w:tc>
        <w:tc>
          <w:tcPr>
            <w:tcMar>
              <w:top w:w="0" w:type="dxa"/>
              <w:bottom w:w="0" w:type="dxa"/>
            </w:tcMar>
            <w:vAlign w:val="center"/>
          </w:tcPr>
          <w:p w14:paraId="5A320E12">
            <w:pPr>
              <w:keepNext/>
              <w:keepLines/>
              <w:spacing w:before="0" w:after="0" w:line="240" w:lineRule="auto"/>
              <w:jc w:val="right"/>
            </w:pPr>
            <w:r>
              <w:rPr>
                <w:rFonts w:ascii="Times New Roman" w:hAnsi="Times New Roman"/>
                <w:sz w:val="18"/>
              </w:rPr>
              <w:t>116,8</w:t>
            </w:r>
          </w:p>
        </w:tc>
      </w:tr>
    </w:tbl>
    <w:p w14:paraId="082F2BB8">
      <w:pPr>
        <w:spacing w:before="0" w:after="0"/>
      </w:pPr>
    </w:p>
    <w:p w14:paraId="4FFE20DF">
      <w:r>
        <w:t>Rast cijena materijala, proizvoda i usluga koje su potrebne za nesmetani rad škole dovodi i do povećanja prihoda za podmirenje obveza u usporedbi sa prošlom godinom. </w:t>
      </w:r>
    </w:p>
    <w:p w14:paraId="7D7EA963"/>
    <w:p w14:paraId="5BDC4334">
      <w:pPr>
        <w:keepNext/>
        <w:spacing w:line="240" w:lineRule="auto"/>
        <w:jc w:val="center"/>
      </w:pPr>
      <w:r>
        <w:rPr>
          <w:rFonts w:ascii="Times New Roman" w:hAnsi="Times New Roman"/>
          <w:sz w:val="28"/>
        </w:rPr>
        <w:t>Bilješka 7.</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72AD20B1">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24B96E41">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09DE6F87">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4F78A28C">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6C5864F7">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5704E340">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58386089">
            <w:pPr>
              <w:keepNext/>
              <w:keepLines/>
              <w:spacing w:before="0" w:after="0" w:line="240" w:lineRule="auto"/>
              <w:jc w:val="center"/>
            </w:pPr>
            <w:r>
              <w:rPr>
                <w:rFonts w:ascii="Times New Roman" w:hAnsi="Times New Roman"/>
                <w:b/>
                <w:sz w:val="18"/>
              </w:rPr>
              <w:t>Indeks (%)</w:t>
            </w:r>
          </w:p>
        </w:tc>
      </w:tr>
      <w:tr w14:paraId="782D8372">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662A1F04">
            <w:pPr>
              <w:keepNext/>
              <w:keepLines/>
              <w:spacing w:before="0" w:after="0" w:line="240" w:lineRule="auto"/>
              <w:jc w:val="left"/>
            </w:pPr>
            <w:r>
              <w:rPr>
                <w:rFonts w:ascii="Times New Roman" w:hAnsi="Times New Roman"/>
                <w:sz w:val="18"/>
              </w:rPr>
              <w:t>3211</w:t>
            </w:r>
          </w:p>
        </w:tc>
        <w:tc>
          <w:tcPr>
            <w:tcMar>
              <w:top w:w="0" w:type="dxa"/>
              <w:bottom w:w="0" w:type="dxa"/>
            </w:tcMar>
            <w:vAlign w:val="center"/>
          </w:tcPr>
          <w:p w14:paraId="18BB2F20">
            <w:pPr>
              <w:keepNext/>
              <w:keepLines/>
              <w:spacing w:before="0" w:after="0" w:line="240" w:lineRule="auto"/>
              <w:jc w:val="left"/>
            </w:pPr>
            <w:r>
              <w:rPr>
                <w:rFonts w:ascii="Times New Roman" w:hAnsi="Times New Roman"/>
                <w:sz w:val="18"/>
              </w:rPr>
              <w:t>Službena putovanja</w:t>
            </w:r>
          </w:p>
        </w:tc>
        <w:tc>
          <w:tcPr>
            <w:tcMar>
              <w:top w:w="0" w:type="dxa"/>
              <w:bottom w:w="0" w:type="dxa"/>
            </w:tcMar>
            <w:vAlign w:val="center"/>
          </w:tcPr>
          <w:p w14:paraId="13739141">
            <w:pPr>
              <w:keepNext/>
              <w:keepLines/>
              <w:spacing w:before="0" w:after="0" w:line="240" w:lineRule="auto"/>
              <w:jc w:val="left"/>
            </w:pPr>
            <w:r>
              <w:rPr>
                <w:rFonts w:ascii="Times New Roman" w:hAnsi="Times New Roman"/>
                <w:sz w:val="18"/>
              </w:rPr>
              <w:t>3211</w:t>
            </w:r>
          </w:p>
        </w:tc>
        <w:tc>
          <w:tcPr>
            <w:tcMar>
              <w:top w:w="0" w:type="dxa"/>
              <w:bottom w:w="0" w:type="dxa"/>
            </w:tcMar>
            <w:vAlign w:val="center"/>
          </w:tcPr>
          <w:p w14:paraId="0595BD6B">
            <w:pPr>
              <w:keepNext/>
              <w:keepLines/>
              <w:spacing w:before="0" w:after="0" w:line="240" w:lineRule="auto"/>
              <w:jc w:val="right"/>
            </w:pPr>
            <w:r>
              <w:rPr>
                <w:rFonts w:ascii="Times New Roman" w:hAnsi="Times New Roman"/>
                <w:sz w:val="18"/>
              </w:rPr>
              <w:t>3.592,79</w:t>
            </w:r>
          </w:p>
        </w:tc>
        <w:tc>
          <w:tcPr>
            <w:tcMar>
              <w:top w:w="0" w:type="dxa"/>
              <w:bottom w:w="0" w:type="dxa"/>
            </w:tcMar>
            <w:vAlign w:val="center"/>
          </w:tcPr>
          <w:p w14:paraId="74AFED8F">
            <w:pPr>
              <w:keepNext/>
              <w:keepLines/>
              <w:spacing w:before="0" w:after="0" w:line="240" w:lineRule="auto"/>
              <w:jc w:val="right"/>
            </w:pPr>
            <w:r>
              <w:rPr>
                <w:rFonts w:ascii="Times New Roman" w:hAnsi="Times New Roman"/>
                <w:sz w:val="18"/>
              </w:rPr>
              <w:t>5.734,06</w:t>
            </w:r>
          </w:p>
        </w:tc>
        <w:tc>
          <w:tcPr>
            <w:tcMar>
              <w:top w:w="0" w:type="dxa"/>
              <w:bottom w:w="0" w:type="dxa"/>
            </w:tcMar>
            <w:vAlign w:val="center"/>
          </w:tcPr>
          <w:p w14:paraId="0D1C0531">
            <w:pPr>
              <w:keepNext/>
              <w:keepLines/>
              <w:spacing w:before="0" w:after="0" w:line="240" w:lineRule="auto"/>
              <w:jc w:val="right"/>
            </w:pPr>
            <w:r>
              <w:rPr>
                <w:rFonts w:ascii="Times New Roman" w:hAnsi="Times New Roman"/>
                <w:sz w:val="18"/>
              </w:rPr>
              <w:t>159,6</w:t>
            </w:r>
          </w:p>
        </w:tc>
      </w:tr>
    </w:tbl>
    <w:p w14:paraId="4B89D952">
      <w:pPr>
        <w:spacing w:before="0" w:after="0"/>
      </w:pPr>
    </w:p>
    <w:p w14:paraId="497DC5CA">
      <w:r>
        <w:t>Obzirom na isto razdoblje prošle godine rasli su rashodi službenih putovanja obzirom na veći broj terenskih nastava.</w:t>
      </w:r>
    </w:p>
    <w:p w14:paraId="7A1CE4C8"/>
    <w:p w14:paraId="2430368D">
      <w:pPr>
        <w:keepNext/>
        <w:spacing w:line="240" w:lineRule="auto"/>
        <w:jc w:val="center"/>
      </w:pPr>
      <w:r>
        <w:rPr>
          <w:rFonts w:ascii="Times New Roman" w:hAnsi="Times New Roman"/>
          <w:sz w:val="28"/>
        </w:rPr>
        <w:t>Bilješka 8.</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4425EBF4">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28B15387">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421880BE">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42EA6A6A">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2A357342">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00F8AAAA">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3F68844D">
            <w:pPr>
              <w:keepNext/>
              <w:keepLines/>
              <w:spacing w:before="0" w:after="0" w:line="240" w:lineRule="auto"/>
              <w:jc w:val="center"/>
            </w:pPr>
            <w:r>
              <w:rPr>
                <w:rFonts w:ascii="Times New Roman" w:hAnsi="Times New Roman"/>
                <w:b/>
                <w:sz w:val="18"/>
              </w:rPr>
              <w:t>Indeks (%)</w:t>
            </w:r>
          </w:p>
        </w:tc>
      </w:tr>
      <w:tr w14:paraId="66961753">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15CC7ED6">
            <w:pPr>
              <w:keepNext/>
              <w:keepLines/>
              <w:spacing w:before="0" w:after="0" w:line="240" w:lineRule="auto"/>
              <w:jc w:val="left"/>
            </w:pPr>
            <w:r>
              <w:rPr>
                <w:rFonts w:ascii="Times New Roman" w:hAnsi="Times New Roman"/>
                <w:sz w:val="18"/>
              </w:rPr>
              <w:t>3213</w:t>
            </w:r>
          </w:p>
        </w:tc>
        <w:tc>
          <w:tcPr>
            <w:tcMar>
              <w:top w:w="0" w:type="dxa"/>
              <w:bottom w:w="0" w:type="dxa"/>
            </w:tcMar>
            <w:vAlign w:val="center"/>
          </w:tcPr>
          <w:p w14:paraId="0723CDE7">
            <w:pPr>
              <w:keepNext/>
              <w:keepLines/>
              <w:spacing w:before="0" w:after="0" w:line="240" w:lineRule="auto"/>
              <w:jc w:val="left"/>
            </w:pPr>
            <w:r>
              <w:rPr>
                <w:rFonts w:ascii="Times New Roman" w:hAnsi="Times New Roman"/>
                <w:sz w:val="18"/>
              </w:rPr>
              <w:t>Stručno usavršavanje zaposlenika</w:t>
            </w:r>
          </w:p>
        </w:tc>
        <w:tc>
          <w:tcPr>
            <w:tcMar>
              <w:top w:w="0" w:type="dxa"/>
              <w:bottom w:w="0" w:type="dxa"/>
            </w:tcMar>
            <w:vAlign w:val="center"/>
          </w:tcPr>
          <w:p w14:paraId="65C1427F">
            <w:pPr>
              <w:keepNext/>
              <w:keepLines/>
              <w:spacing w:before="0" w:after="0" w:line="240" w:lineRule="auto"/>
              <w:jc w:val="left"/>
            </w:pPr>
            <w:r>
              <w:rPr>
                <w:rFonts w:ascii="Times New Roman" w:hAnsi="Times New Roman"/>
                <w:sz w:val="18"/>
              </w:rPr>
              <w:t>3213</w:t>
            </w:r>
          </w:p>
        </w:tc>
        <w:tc>
          <w:tcPr>
            <w:tcMar>
              <w:top w:w="0" w:type="dxa"/>
              <w:bottom w:w="0" w:type="dxa"/>
            </w:tcMar>
            <w:vAlign w:val="center"/>
          </w:tcPr>
          <w:p w14:paraId="54F14E96">
            <w:pPr>
              <w:keepNext/>
              <w:keepLines/>
              <w:spacing w:before="0" w:after="0" w:line="240" w:lineRule="auto"/>
              <w:jc w:val="right"/>
            </w:pPr>
            <w:r>
              <w:rPr>
                <w:rFonts w:ascii="Times New Roman" w:hAnsi="Times New Roman"/>
                <w:sz w:val="18"/>
              </w:rPr>
              <w:t>75,00</w:t>
            </w:r>
          </w:p>
        </w:tc>
        <w:tc>
          <w:tcPr>
            <w:tcMar>
              <w:top w:w="0" w:type="dxa"/>
              <w:bottom w:w="0" w:type="dxa"/>
            </w:tcMar>
            <w:vAlign w:val="center"/>
          </w:tcPr>
          <w:p w14:paraId="5EA4F456">
            <w:pPr>
              <w:keepNext/>
              <w:keepLines/>
              <w:spacing w:before="0" w:after="0" w:line="240" w:lineRule="auto"/>
              <w:jc w:val="right"/>
            </w:pPr>
            <w:r>
              <w:rPr>
                <w:rFonts w:ascii="Times New Roman" w:hAnsi="Times New Roman"/>
                <w:sz w:val="18"/>
              </w:rPr>
              <w:t>1.636,08</w:t>
            </w:r>
          </w:p>
        </w:tc>
        <w:tc>
          <w:tcPr>
            <w:tcMar>
              <w:top w:w="0" w:type="dxa"/>
              <w:bottom w:w="0" w:type="dxa"/>
            </w:tcMar>
            <w:vAlign w:val="center"/>
          </w:tcPr>
          <w:p w14:paraId="6694E677">
            <w:pPr>
              <w:keepNext/>
              <w:keepLines/>
              <w:spacing w:before="0" w:after="0" w:line="240" w:lineRule="auto"/>
              <w:jc w:val="right"/>
            </w:pPr>
            <w:r>
              <w:rPr>
                <w:rFonts w:ascii="Times New Roman" w:hAnsi="Times New Roman"/>
                <w:sz w:val="18"/>
              </w:rPr>
              <w:t>2181,4</w:t>
            </w:r>
          </w:p>
        </w:tc>
      </w:tr>
    </w:tbl>
    <w:p w14:paraId="7B2CA9A8">
      <w:pPr>
        <w:spacing w:before="0" w:after="0"/>
      </w:pPr>
    </w:p>
    <w:p w14:paraId="066EF019">
      <w:r>
        <w:t>Puno više stručnog usavršavanja djelatnika u usporedbi sa istim razdobljem u  prošloj godini dovodi i do povećanja rashoda.</w:t>
      </w:r>
    </w:p>
    <w:p w14:paraId="7C809D8D"/>
    <w:p w14:paraId="59AA1E50">
      <w:pPr>
        <w:keepNext/>
        <w:spacing w:line="240" w:lineRule="auto"/>
        <w:jc w:val="center"/>
      </w:pPr>
      <w:r>
        <w:rPr>
          <w:rFonts w:ascii="Times New Roman" w:hAnsi="Times New Roman"/>
          <w:sz w:val="28"/>
        </w:rPr>
        <w:t>Bilješka 9.</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2345528D">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36ACEA0B">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56521E64">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75BF9356">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2609469D">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0D7FD949">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6F4D7EF8">
            <w:pPr>
              <w:keepNext/>
              <w:keepLines/>
              <w:spacing w:before="0" w:after="0" w:line="240" w:lineRule="auto"/>
              <w:jc w:val="center"/>
            </w:pPr>
            <w:r>
              <w:rPr>
                <w:rFonts w:ascii="Times New Roman" w:hAnsi="Times New Roman"/>
                <w:b/>
                <w:sz w:val="18"/>
              </w:rPr>
              <w:t>Indeks (%)</w:t>
            </w:r>
          </w:p>
        </w:tc>
      </w:tr>
      <w:tr w14:paraId="71DB5A84">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213A9A4A">
            <w:pPr>
              <w:keepNext/>
              <w:keepLines/>
              <w:spacing w:before="0" w:after="0" w:line="240" w:lineRule="auto"/>
              <w:jc w:val="left"/>
            </w:pPr>
            <w:r>
              <w:rPr>
                <w:rFonts w:ascii="Times New Roman" w:hAnsi="Times New Roman"/>
                <w:sz w:val="18"/>
              </w:rPr>
              <w:t>3221</w:t>
            </w:r>
          </w:p>
        </w:tc>
        <w:tc>
          <w:tcPr>
            <w:tcMar>
              <w:top w:w="0" w:type="dxa"/>
              <w:bottom w:w="0" w:type="dxa"/>
            </w:tcMar>
            <w:vAlign w:val="center"/>
          </w:tcPr>
          <w:p w14:paraId="3EE8B6BA">
            <w:pPr>
              <w:keepNext/>
              <w:keepLines/>
              <w:spacing w:before="0" w:after="0" w:line="240" w:lineRule="auto"/>
              <w:jc w:val="left"/>
            </w:pPr>
            <w:r>
              <w:rPr>
                <w:rFonts w:ascii="Times New Roman" w:hAnsi="Times New Roman"/>
                <w:sz w:val="18"/>
              </w:rPr>
              <w:t>Uredski materijal i ostali materijalni rashodi</w:t>
            </w:r>
          </w:p>
        </w:tc>
        <w:tc>
          <w:tcPr>
            <w:tcMar>
              <w:top w:w="0" w:type="dxa"/>
              <w:bottom w:w="0" w:type="dxa"/>
            </w:tcMar>
            <w:vAlign w:val="center"/>
          </w:tcPr>
          <w:p w14:paraId="795EDB61">
            <w:pPr>
              <w:keepNext/>
              <w:keepLines/>
              <w:spacing w:before="0" w:after="0" w:line="240" w:lineRule="auto"/>
              <w:jc w:val="left"/>
            </w:pPr>
            <w:r>
              <w:rPr>
                <w:rFonts w:ascii="Times New Roman" w:hAnsi="Times New Roman"/>
                <w:sz w:val="18"/>
              </w:rPr>
              <w:t>3221</w:t>
            </w:r>
          </w:p>
        </w:tc>
        <w:tc>
          <w:tcPr>
            <w:tcMar>
              <w:top w:w="0" w:type="dxa"/>
              <w:bottom w:w="0" w:type="dxa"/>
            </w:tcMar>
            <w:vAlign w:val="center"/>
          </w:tcPr>
          <w:p w14:paraId="57093A85">
            <w:pPr>
              <w:keepNext/>
              <w:keepLines/>
              <w:spacing w:before="0" w:after="0" w:line="240" w:lineRule="auto"/>
              <w:jc w:val="right"/>
            </w:pPr>
            <w:r>
              <w:rPr>
                <w:rFonts w:ascii="Times New Roman" w:hAnsi="Times New Roman"/>
                <w:sz w:val="18"/>
              </w:rPr>
              <w:t>6.425,48</w:t>
            </w:r>
          </w:p>
        </w:tc>
        <w:tc>
          <w:tcPr>
            <w:tcMar>
              <w:top w:w="0" w:type="dxa"/>
              <w:bottom w:w="0" w:type="dxa"/>
            </w:tcMar>
            <w:vAlign w:val="center"/>
          </w:tcPr>
          <w:p w14:paraId="5F3B169A">
            <w:pPr>
              <w:keepNext/>
              <w:keepLines/>
              <w:spacing w:before="0" w:after="0" w:line="240" w:lineRule="auto"/>
              <w:jc w:val="right"/>
            </w:pPr>
            <w:r>
              <w:rPr>
                <w:rFonts w:ascii="Times New Roman" w:hAnsi="Times New Roman"/>
                <w:sz w:val="18"/>
              </w:rPr>
              <w:t>11.302,87</w:t>
            </w:r>
          </w:p>
        </w:tc>
        <w:tc>
          <w:tcPr>
            <w:tcMar>
              <w:top w:w="0" w:type="dxa"/>
              <w:bottom w:w="0" w:type="dxa"/>
            </w:tcMar>
            <w:vAlign w:val="center"/>
          </w:tcPr>
          <w:p w14:paraId="28235844">
            <w:pPr>
              <w:keepNext/>
              <w:keepLines/>
              <w:spacing w:before="0" w:after="0" w:line="240" w:lineRule="auto"/>
              <w:jc w:val="right"/>
            </w:pPr>
            <w:r>
              <w:rPr>
                <w:rFonts w:ascii="Times New Roman" w:hAnsi="Times New Roman"/>
                <w:sz w:val="18"/>
              </w:rPr>
              <w:t>175,9</w:t>
            </w:r>
          </w:p>
        </w:tc>
      </w:tr>
    </w:tbl>
    <w:p w14:paraId="438672A6">
      <w:pPr>
        <w:spacing w:before="0" w:after="0"/>
      </w:pPr>
    </w:p>
    <w:p w14:paraId="46D12305">
      <w:r>
        <w:t>Obzirom na porast cijena rasao je i porast rashoda uredskog materijala u usporedbi sa prošlom godinom.</w:t>
      </w:r>
    </w:p>
    <w:p w14:paraId="3C28F966"/>
    <w:p w14:paraId="68A70EFE">
      <w:pPr>
        <w:keepNext/>
        <w:spacing w:line="240" w:lineRule="auto"/>
        <w:jc w:val="center"/>
      </w:pPr>
      <w:r>
        <w:rPr>
          <w:rFonts w:ascii="Times New Roman" w:hAnsi="Times New Roman"/>
          <w:sz w:val="28"/>
        </w:rPr>
        <w:t>Bilješka 10.</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2BD9741D">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599B1363">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1C74F968">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2C055582">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7DDBADC4">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7777F470">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1EB491DF">
            <w:pPr>
              <w:keepNext/>
              <w:keepLines/>
              <w:spacing w:before="0" w:after="0" w:line="240" w:lineRule="auto"/>
              <w:jc w:val="center"/>
            </w:pPr>
            <w:r>
              <w:rPr>
                <w:rFonts w:ascii="Times New Roman" w:hAnsi="Times New Roman"/>
                <w:b/>
                <w:sz w:val="18"/>
              </w:rPr>
              <w:t>Indeks (%)</w:t>
            </w:r>
          </w:p>
        </w:tc>
      </w:tr>
      <w:tr w14:paraId="51836F99">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6F6DE019">
            <w:pPr>
              <w:keepNext/>
              <w:keepLines/>
              <w:spacing w:before="0" w:after="0" w:line="240" w:lineRule="auto"/>
              <w:jc w:val="left"/>
            </w:pPr>
            <w:r>
              <w:rPr>
                <w:rFonts w:ascii="Times New Roman" w:hAnsi="Times New Roman"/>
                <w:sz w:val="18"/>
              </w:rPr>
              <w:t>3222</w:t>
            </w:r>
          </w:p>
        </w:tc>
        <w:tc>
          <w:tcPr>
            <w:tcMar>
              <w:top w:w="0" w:type="dxa"/>
              <w:bottom w:w="0" w:type="dxa"/>
            </w:tcMar>
            <w:vAlign w:val="center"/>
          </w:tcPr>
          <w:p w14:paraId="3ECDFBB2">
            <w:pPr>
              <w:keepNext/>
              <w:keepLines/>
              <w:spacing w:before="0" w:after="0" w:line="240" w:lineRule="auto"/>
              <w:jc w:val="left"/>
            </w:pPr>
            <w:r>
              <w:rPr>
                <w:rFonts w:ascii="Times New Roman" w:hAnsi="Times New Roman"/>
                <w:sz w:val="18"/>
              </w:rPr>
              <w:t>Materijal i sirovine</w:t>
            </w:r>
          </w:p>
        </w:tc>
        <w:tc>
          <w:tcPr>
            <w:tcMar>
              <w:top w:w="0" w:type="dxa"/>
              <w:bottom w:w="0" w:type="dxa"/>
            </w:tcMar>
            <w:vAlign w:val="center"/>
          </w:tcPr>
          <w:p w14:paraId="3A89B2B4">
            <w:pPr>
              <w:keepNext/>
              <w:keepLines/>
              <w:spacing w:before="0" w:after="0" w:line="240" w:lineRule="auto"/>
              <w:jc w:val="left"/>
            </w:pPr>
            <w:r>
              <w:rPr>
                <w:rFonts w:ascii="Times New Roman" w:hAnsi="Times New Roman"/>
                <w:sz w:val="18"/>
              </w:rPr>
              <w:t>3222</w:t>
            </w:r>
          </w:p>
        </w:tc>
        <w:tc>
          <w:tcPr>
            <w:tcMar>
              <w:top w:w="0" w:type="dxa"/>
              <w:bottom w:w="0" w:type="dxa"/>
            </w:tcMar>
            <w:vAlign w:val="center"/>
          </w:tcPr>
          <w:p w14:paraId="04F21436">
            <w:pPr>
              <w:keepNext/>
              <w:keepLines/>
              <w:spacing w:before="0" w:after="0" w:line="240" w:lineRule="auto"/>
              <w:jc w:val="right"/>
            </w:pPr>
            <w:r>
              <w:rPr>
                <w:rFonts w:ascii="Times New Roman" w:hAnsi="Times New Roman"/>
                <w:sz w:val="18"/>
              </w:rPr>
              <w:t>57.379,53</w:t>
            </w:r>
          </w:p>
        </w:tc>
        <w:tc>
          <w:tcPr>
            <w:tcMar>
              <w:top w:w="0" w:type="dxa"/>
              <w:bottom w:w="0" w:type="dxa"/>
            </w:tcMar>
            <w:vAlign w:val="center"/>
          </w:tcPr>
          <w:p w14:paraId="67A17C8B">
            <w:pPr>
              <w:keepNext/>
              <w:keepLines/>
              <w:spacing w:before="0" w:after="0" w:line="240" w:lineRule="auto"/>
              <w:jc w:val="right"/>
            </w:pPr>
            <w:r>
              <w:rPr>
                <w:rFonts w:ascii="Times New Roman" w:hAnsi="Times New Roman"/>
                <w:sz w:val="18"/>
              </w:rPr>
              <w:t>64.187,51</w:t>
            </w:r>
          </w:p>
        </w:tc>
        <w:tc>
          <w:tcPr>
            <w:tcMar>
              <w:top w:w="0" w:type="dxa"/>
              <w:bottom w:w="0" w:type="dxa"/>
            </w:tcMar>
            <w:vAlign w:val="center"/>
          </w:tcPr>
          <w:p w14:paraId="150C1421">
            <w:pPr>
              <w:keepNext/>
              <w:keepLines/>
              <w:spacing w:before="0" w:after="0" w:line="240" w:lineRule="auto"/>
              <w:jc w:val="right"/>
            </w:pPr>
            <w:r>
              <w:rPr>
                <w:rFonts w:ascii="Times New Roman" w:hAnsi="Times New Roman"/>
                <w:sz w:val="18"/>
              </w:rPr>
              <w:t>111,9</w:t>
            </w:r>
          </w:p>
        </w:tc>
      </w:tr>
    </w:tbl>
    <w:p w14:paraId="0F11629F">
      <w:pPr>
        <w:spacing w:before="0" w:after="0"/>
      </w:pPr>
    </w:p>
    <w:p w14:paraId="36D2ADEB">
      <w:r>
        <w:t>Porast cijena i veće količine namirnica za prehranu u školskoj kuhinji dovodi do povećanja rashoda kao usporedimo sa prošlogodišnjim stanjem.</w:t>
      </w:r>
    </w:p>
    <w:p w14:paraId="1565C1E7"/>
    <w:p w14:paraId="7B4F34FF">
      <w:pPr>
        <w:keepNext/>
        <w:spacing w:line="240" w:lineRule="auto"/>
        <w:jc w:val="center"/>
      </w:pPr>
      <w:r>
        <w:rPr>
          <w:rFonts w:ascii="Times New Roman" w:hAnsi="Times New Roman"/>
          <w:sz w:val="28"/>
        </w:rPr>
        <w:t>Bilješka 11.</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1C6B8105">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5F3206BA">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5386336E">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1CC6F3A8">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165CF57D">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04EFBA5A">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1684F936">
            <w:pPr>
              <w:keepNext/>
              <w:keepLines/>
              <w:spacing w:before="0" w:after="0" w:line="240" w:lineRule="auto"/>
              <w:jc w:val="center"/>
            </w:pPr>
            <w:r>
              <w:rPr>
                <w:rFonts w:ascii="Times New Roman" w:hAnsi="Times New Roman"/>
                <w:b/>
                <w:sz w:val="18"/>
              </w:rPr>
              <w:t>Indeks (%)</w:t>
            </w:r>
          </w:p>
        </w:tc>
      </w:tr>
      <w:tr w14:paraId="3D1FF7C3">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38B980FF">
            <w:pPr>
              <w:keepNext/>
              <w:keepLines/>
              <w:spacing w:before="0" w:after="0" w:line="240" w:lineRule="auto"/>
              <w:jc w:val="left"/>
            </w:pPr>
            <w:r>
              <w:rPr>
                <w:rFonts w:ascii="Times New Roman" w:hAnsi="Times New Roman"/>
                <w:sz w:val="18"/>
              </w:rPr>
              <w:t>3225</w:t>
            </w:r>
          </w:p>
        </w:tc>
        <w:tc>
          <w:tcPr>
            <w:tcMar>
              <w:top w:w="0" w:type="dxa"/>
              <w:bottom w:w="0" w:type="dxa"/>
            </w:tcMar>
            <w:vAlign w:val="center"/>
          </w:tcPr>
          <w:p w14:paraId="4BC429C0">
            <w:pPr>
              <w:keepNext/>
              <w:keepLines/>
              <w:spacing w:before="0" w:after="0" w:line="240" w:lineRule="auto"/>
              <w:jc w:val="left"/>
            </w:pPr>
            <w:r>
              <w:rPr>
                <w:rFonts w:ascii="Times New Roman" w:hAnsi="Times New Roman"/>
                <w:sz w:val="18"/>
              </w:rPr>
              <w:t>Sitni inventar i autogume</w:t>
            </w:r>
          </w:p>
        </w:tc>
        <w:tc>
          <w:tcPr>
            <w:tcMar>
              <w:top w:w="0" w:type="dxa"/>
              <w:bottom w:w="0" w:type="dxa"/>
            </w:tcMar>
            <w:vAlign w:val="center"/>
          </w:tcPr>
          <w:p w14:paraId="15C6D5A5">
            <w:pPr>
              <w:keepNext/>
              <w:keepLines/>
              <w:spacing w:before="0" w:after="0" w:line="240" w:lineRule="auto"/>
              <w:jc w:val="left"/>
            </w:pPr>
            <w:r>
              <w:rPr>
                <w:rFonts w:ascii="Times New Roman" w:hAnsi="Times New Roman"/>
                <w:sz w:val="18"/>
              </w:rPr>
              <w:t>3225</w:t>
            </w:r>
          </w:p>
        </w:tc>
        <w:tc>
          <w:tcPr>
            <w:tcMar>
              <w:top w:w="0" w:type="dxa"/>
              <w:bottom w:w="0" w:type="dxa"/>
            </w:tcMar>
            <w:vAlign w:val="center"/>
          </w:tcPr>
          <w:p w14:paraId="45DD56A2">
            <w:pPr>
              <w:keepNext/>
              <w:keepLines/>
              <w:spacing w:before="0" w:after="0" w:line="240" w:lineRule="auto"/>
              <w:jc w:val="right"/>
            </w:pPr>
            <w:r>
              <w:rPr>
                <w:rFonts w:ascii="Times New Roman" w:hAnsi="Times New Roman"/>
                <w:sz w:val="18"/>
              </w:rPr>
              <w:t>89,40</w:t>
            </w:r>
          </w:p>
        </w:tc>
        <w:tc>
          <w:tcPr>
            <w:tcMar>
              <w:top w:w="0" w:type="dxa"/>
              <w:bottom w:w="0" w:type="dxa"/>
            </w:tcMar>
            <w:vAlign w:val="center"/>
          </w:tcPr>
          <w:p w14:paraId="7A0DB60A">
            <w:pPr>
              <w:keepNext/>
              <w:keepLines/>
              <w:spacing w:before="0" w:after="0" w:line="240" w:lineRule="auto"/>
              <w:jc w:val="right"/>
            </w:pPr>
            <w:r>
              <w:rPr>
                <w:rFonts w:ascii="Times New Roman" w:hAnsi="Times New Roman"/>
                <w:sz w:val="18"/>
              </w:rPr>
              <w:t>1.419,85</w:t>
            </w:r>
          </w:p>
        </w:tc>
        <w:tc>
          <w:tcPr>
            <w:tcMar>
              <w:top w:w="0" w:type="dxa"/>
              <w:bottom w:w="0" w:type="dxa"/>
            </w:tcMar>
            <w:vAlign w:val="center"/>
          </w:tcPr>
          <w:p w14:paraId="0FD9E67B">
            <w:pPr>
              <w:keepNext/>
              <w:keepLines/>
              <w:spacing w:before="0" w:after="0" w:line="240" w:lineRule="auto"/>
              <w:jc w:val="right"/>
            </w:pPr>
            <w:r>
              <w:rPr>
                <w:rFonts w:ascii="Times New Roman" w:hAnsi="Times New Roman"/>
                <w:sz w:val="18"/>
              </w:rPr>
              <w:t>1588,2</w:t>
            </w:r>
          </w:p>
        </w:tc>
      </w:tr>
    </w:tbl>
    <w:p w14:paraId="10B6B0BB">
      <w:pPr>
        <w:spacing w:before="0" w:after="0"/>
      </w:pPr>
    </w:p>
    <w:p w14:paraId="533FC443">
      <w:r>
        <w:t>Ove godine bilo je dosta popravaka te tehničko-investicijskog održavanja za koje je bilo potrebno nabaviti više sitnog inventara te su i rashodi veći obzirom na prošlogodišnje.</w:t>
      </w:r>
    </w:p>
    <w:p w14:paraId="10A55D38"/>
    <w:p w14:paraId="7D49D893">
      <w:pPr>
        <w:keepNext/>
        <w:spacing w:line="240" w:lineRule="auto"/>
        <w:jc w:val="center"/>
      </w:pPr>
      <w:r>
        <w:rPr>
          <w:rFonts w:ascii="Times New Roman" w:hAnsi="Times New Roman"/>
          <w:sz w:val="28"/>
        </w:rPr>
        <w:t>Bilješka 12.</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2313BBD6">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478BDB7A">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10B7C1A6">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020BB205">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2F7C7037">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1EDFC23D">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2EAA4B9F">
            <w:pPr>
              <w:keepNext/>
              <w:keepLines/>
              <w:spacing w:before="0" w:after="0" w:line="240" w:lineRule="auto"/>
              <w:jc w:val="center"/>
            </w:pPr>
            <w:r>
              <w:rPr>
                <w:rFonts w:ascii="Times New Roman" w:hAnsi="Times New Roman"/>
                <w:b/>
                <w:sz w:val="18"/>
              </w:rPr>
              <w:t>Indeks (%)</w:t>
            </w:r>
          </w:p>
        </w:tc>
      </w:tr>
      <w:tr w14:paraId="130FBEEE">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36A7CF5A">
            <w:pPr>
              <w:keepNext/>
              <w:keepLines/>
              <w:spacing w:before="0" w:after="0" w:line="240" w:lineRule="auto"/>
              <w:jc w:val="left"/>
            </w:pPr>
            <w:r>
              <w:rPr>
                <w:rFonts w:ascii="Times New Roman" w:hAnsi="Times New Roman"/>
                <w:sz w:val="18"/>
              </w:rPr>
              <w:t>3231</w:t>
            </w:r>
          </w:p>
        </w:tc>
        <w:tc>
          <w:tcPr>
            <w:tcMar>
              <w:top w:w="0" w:type="dxa"/>
              <w:bottom w:w="0" w:type="dxa"/>
            </w:tcMar>
            <w:vAlign w:val="center"/>
          </w:tcPr>
          <w:p w14:paraId="58DCC595">
            <w:pPr>
              <w:keepNext/>
              <w:keepLines/>
              <w:spacing w:before="0" w:after="0" w:line="240" w:lineRule="auto"/>
              <w:jc w:val="left"/>
            </w:pPr>
            <w:r>
              <w:rPr>
                <w:rFonts w:ascii="Times New Roman" w:hAnsi="Times New Roman"/>
                <w:sz w:val="18"/>
              </w:rPr>
              <w:t>Usluge telefona, interneta, pošte i prijevoza</w:t>
            </w:r>
          </w:p>
        </w:tc>
        <w:tc>
          <w:tcPr>
            <w:tcMar>
              <w:top w:w="0" w:type="dxa"/>
              <w:bottom w:w="0" w:type="dxa"/>
            </w:tcMar>
            <w:vAlign w:val="center"/>
          </w:tcPr>
          <w:p w14:paraId="2EFB3442">
            <w:pPr>
              <w:keepNext/>
              <w:keepLines/>
              <w:spacing w:before="0" w:after="0" w:line="240" w:lineRule="auto"/>
              <w:jc w:val="left"/>
            </w:pPr>
            <w:r>
              <w:rPr>
                <w:rFonts w:ascii="Times New Roman" w:hAnsi="Times New Roman"/>
                <w:sz w:val="18"/>
              </w:rPr>
              <w:t>3231</w:t>
            </w:r>
          </w:p>
        </w:tc>
        <w:tc>
          <w:tcPr>
            <w:tcMar>
              <w:top w:w="0" w:type="dxa"/>
              <w:bottom w:w="0" w:type="dxa"/>
            </w:tcMar>
            <w:vAlign w:val="center"/>
          </w:tcPr>
          <w:p w14:paraId="3BB9F632">
            <w:pPr>
              <w:keepNext/>
              <w:keepLines/>
              <w:spacing w:before="0" w:after="0" w:line="240" w:lineRule="auto"/>
              <w:jc w:val="right"/>
            </w:pPr>
            <w:r>
              <w:rPr>
                <w:rFonts w:ascii="Times New Roman" w:hAnsi="Times New Roman"/>
                <w:sz w:val="18"/>
              </w:rPr>
              <w:t>51.833,94</w:t>
            </w:r>
          </w:p>
        </w:tc>
        <w:tc>
          <w:tcPr>
            <w:tcMar>
              <w:top w:w="0" w:type="dxa"/>
              <w:bottom w:w="0" w:type="dxa"/>
            </w:tcMar>
            <w:vAlign w:val="center"/>
          </w:tcPr>
          <w:p w14:paraId="76001DB1">
            <w:pPr>
              <w:keepNext/>
              <w:keepLines/>
              <w:spacing w:before="0" w:after="0" w:line="240" w:lineRule="auto"/>
              <w:jc w:val="right"/>
            </w:pPr>
            <w:r>
              <w:rPr>
                <w:rFonts w:ascii="Times New Roman" w:hAnsi="Times New Roman"/>
                <w:sz w:val="18"/>
              </w:rPr>
              <w:t>75.086,42</w:t>
            </w:r>
          </w:p>
        </w:tc>
        <w:tc>
          <w:tcPr>
            <w:tcMar>
              <w:top w:w="0" w:type="dxa"/>
              <w:bottom w:w="0" w:type="dxa"/>
            </w:tcMar>
            <w:vAlign w:val="center"/>
          </w:tcPr>
          <w:p w14:paraId="7A5E3767">
            <w:pPr>
              <w:keepNext/>
              <w:keepLines/>
              <w:spacing w:before="0" w:after="0" w:line="240" w:lineRule="auto"/>
              <w:jc w:val="right"/>
            </w:pPr>
            <w:r>
              <w:rPr>
                <w:rFonts w:ascii="Times New Roman" w:hAnsi="Times New Roman"/>
                <w:sz w:val="18"/>
              </w:rPr>
              <w:t>144,9</w:t>
            </w:r>
          </w:p>
        </w:tc>
      </w:tr>
    </w:tbl>
    <w:p w14:paraId="74268E79">
      <w:pPr>
        <w:spacing w:before="0" w:after="0"/>
      </w:pPr>
    </w:p>
    <w:p w14:paraId="7A09173A">
      <w:r>
        <w:t>Porast cijena usluga dovodi i do porasta rashoda u usporedbi sa prošlom godinom.</w:t>
      </w:r>
    </w:p>
    <w:p w14:paraId="33A81FBC"/>
    <w:p w14:paraId="089640FC">
      <w:pPr>
        <w:keepNext/>
        <w:spacing w:line="240" w:lineRule="auto"/>
        <w:jc w:val="center"/>
      </w:pPr>
      <w:r>
        <w:rPr>
          <w:rFonts w:ascii="Times New Roman" w:hAnsi="Times New Roman"/>
          <w:sz w:val="28"/>
        </w:rPr>
        <w:t>Bilješka 13.</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74DF3B1F">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079AF999">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5B8D3A97">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6C252D06">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35EA629D">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752A7066">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564FC51B">
            <w:pPr>
              <w:keepNext/>
              <w:keepLines/>
              <w:spacing w:before="0" w:after="0" w:line="240" w:lineRule="auto"/>
              <w:jc w:val="center"/>
            </w:pPr>
            <w:r>
              <w:rPr>
                <w:rFonts w:ascii="Times New Roman" w:hAnsi="Times New Roman"/>
                <w:b/>
                <w:sz w:val="18"/>
              </w:rPr>
              <w:t>Indeks (%)</w:t>
            </w:r>
          </w:p>
        </w:tc>
      </w:tr>
      <w:tr w14:paraId="08D6D0D1">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2B281A0F">
            <w:pPr>
              <w:keepNext/>
              <w:keepLines/>
              <w:spacing w:before="0" w:after="0" w:line="240" w:lineRule="auto"/>
              <w:jc w:val="left"/>
            </w:pPr>
            <w:r>
              <w:rPr>
                <w:rFonts w:ascii="Times New Roman" w:hAnsi="Times New Roman"/>
                <w:sz w:val="18"/>
              </w:rPr>
              <w:t>3236</w:t>
            </w:r>
          </w:p>
        </w:tc>
        <w:tc>
          <w:tcPr>
            <w:tcMar>
              <w:top w:w="0" w:type="dxa"/>
              <w:bottom w:w="0" w:type="dxa"/>
            </w:tcMar>
            <w:vAlign w:val="center"/>
          </w:tcPr>
          <w:p w14:paraId="018EA61D">
            <w:pPr>
              <w:keepNext/>
              <w:keepLines/>
              <w:spacing w:before="0" w:after="0" w:line="240" w:lineRule="auto"/>
              <w:jc w:val="left"/>
            </w:pPr>
            <w:r>
              <w:rPr>
                <w:rFonts w:ascii="Times New Roman" w:hAnsi="Times New Roman"/>
                <w:sz w:val="18"/>
              </w:rPr>
              <w:t>Zdravstvene i veterinarske usluge</w:t>
            </w:r>
          </w:p>
        </w:tc>
        <w:tc>
          <w:tcPr>
            <w:tcMar>
              <w:top w:w="0" w:type="dxa"/>
              <w:bottom w:w="0" w:type="dxa"/>
            </w:tcMar>
            <w:vAlign w:val="center"/>
          </w:tcPr>
          <w:p w14:paraId="22196844">
            <w:pPr>
              <w:keepNext/>
              <w:keepLines/>
              <w:spacing w:before="0" w:after="0" w:line="240" w:lineRule="auto"/>
              <w:jc w:val="left"/>
            </w:pPr>
            <w:r>
              <w:rPr>
                <w:rFonts w:ascii="Times New Roman" w:hAnsi="Times New Roman"/>
                <w:sz w:val="18"/>
              </w:rPr>
              <w:t>3236</w:t>
            </w:r>
          </w:p>
        </w:tc>
        <w:tc>
          <w:tcPr>
            <w:tcMar>
              <w:top w:w="0" w:type="dxa"/>
              <w:bottom w:w="0" w:type="dxa"/>
            </w:tcMar>
            <w:vAlign w:val="center"/>
          </w:tcPr>
          <w:p w14:paraId="62686665">
            <w:pPr>
              <w:keepNext/>
              <w:keepLines/>
              <w:spacing w:before="0" w:after="0" w:line="240" w:lineRule="auto"/>
              <w:jc w:val="right"/>
            </w:pPr>
            <w:r>
              <w:rPr>
                <w:rFonts w:ascii="Times New Roman" w:hAnsi="Times New Roman"/>
                <w:sz w:val="18"/>
              </w:rPr>
              <w:t>508,19</w:t>
            </w:r>
          </w:p>
        </w:tc>
        <w:tc>
          <w:tcPr>
            <w:tcMar>
              <w:top w:w="0" w:type="dxa"/>
              <w:bottom w:w="0" w:type="dxa"/>
            </w:tcMar>
            <w:vAlign w:val="center"/>
          </w:tcPr>
          <w:p w14:paraId="74915B4E">
            <w:pPr>
              <w:keepNext/>
              <w:keepLines/>
              <w:spacing w:before="0" w:after="0" w:line="240" w:lineRule="auto"/>
              <w:jc w:val="right"/>
            </w:pPr>
            <w:r>
              <w:rPr>
                <w:rFonts w:ascii="Times New Roman" w:hAnsi="Times New Roman"/>
                <w:sz w:val="18"/>
              </w:rPr>
              <w:t>2.391,43</w:t>
            </w:r>
          </w:p>
        </w:tc>
        <w:tc>
          <w:tcPr>
            <w:tcMar>
              <w:top w:w="0" w:type="dxa"/>
              <w:bottom w:w="0" w:type="dxa"/>
            </w:tcMar>
            <w:vAlign w:val="center"/>
          </w:tcPr>
          <w:p w14:paraId="1E8A11D3">
            <w:pPr>
              <w:keepNext/>
              <w:keepLines/>
              <w:spacing w:before="0" w:after="0" w:line="240" w:lineRule="auto"/>
              <w:jc w:val="right"/>
            </w:pPr>
            <w:r>
              <w:rPr>
                <w:rFonts w:ascii="Times New Roman" w:hAnsi="Times New Roman"/>
                <w:sz w:val="18"/>
              </w:rPr>
              <w:t>470,6</w:t>
            </w:r>
          </w:p>
        </w:tc>
      </w:tr>
    </w:tbl>
    <w:p w14:paraId="6C705939">
      <w:pPr>
        <w:spacing w:before="0" w:after="0"/>
      </w:pPr>
    </w:p>
    <w:p w14:paraId="5DEF1743">
      <w:r>
        <w:t>Dio djelatnika je u prvom dijelu ove godine išao na sistematske preglede pa biježimo i  rast rashoda obzirom na prošlu godinu.</w:t>
      </w:r>
    </w:p>
    <w:p w14:paraId="053558AD"/>
    <w:p w14:paraId="5E3F8B9C">
      <w:pPr>
        <w:keepNext/>
        <w:spacing w:line="240" w:lineRule="auto"/>
        <w:jc w:val="center"/>
      </w:pPr>
      <w:r>
        <w:rPr>
          <w:rFonts w:ascii="Times New Roman" w:hAnsi="Times New Roman"/>
          <w:sz w:val="28"/>
        </w:rPr>
        <w:t>Bilješka 14.</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6F2D503F">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45B64174">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7784C6D8">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7F8316DE">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5E7FEC0C">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6333EE81">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10F3F65B">
            <w:pPr>
              <w:keepNext/>
              <w:keepLines/>
              <w:spacing w:before="0" w:after="0" w:line="240" w:lineRule="auto"/>
              <w:jc w:val="center"/>
            </w:pPr>
            <w:r>
              <w:rPr>
                <w:rFonts w:ascii="Times New Roman" w:hAnsi="Times New Roman"/>
                <w:b/>
                <w:sz w:val="18"/>
              </w:rPr>
              <w:t>Indeks (%)</w:t>
            </w:r>
          </w:p>
        </w:tc>
      </w:tr>
      <w:tr w14:paraId="3140B277">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747E6B3B">
            <w:pPr>
              <w:keepNext/>
              <w:keepLines/>
              <w:spacing w:before="0" w:after="0" w:line="240" w:lineRule="auto"/>
              <w:jc w:val="left"/>
            </w:pPr>
            <w:r>
              <w:rPr>
                <w:rFonts w:ascii="Times New Roman" w:hAnsi="Times New Roman"/>
                <w:sz w:val="18"/>
              </w:rPr>
              <w:t>3293</w:t>
            </w:r>
          </w:p>
        </w:tc>
        <w:tc>
          <w:tcPr>
            <w:tcMar>
              <w:top w:w="0" w:type="dxa"/>
              <w:bottom w:w="0" w:type="dxa"/>
            </w:tcMar>
            <w:vAlign w:val="center"/>
          </w:tcPr>
          <w:p w14:paraId="7E8830FF">
            <w:pPr>
              <w:keepNext/>
              <w:keepLines/>
              <w:spacing w:before="0" w:after="0" w:line="240" w:lineRule="auto"/>
              <w:jc w:val="left"/>
            </w:pPr>
            <w:r>
              <w:rPr>
                <w:rFonts w:ascii="Times New Roman" w:hAnsi="Times New Roman"/>
                <w:sz w:val="18"/>
              </w:rPr>
              <w:t>Reprezentacija</w:t>
            </w:r>
          </w:p>
        </w:tc>
        <w:tc>
          <w:tcPr>
            <w:tcMar>
              <w:top w:w="0" w:type="dxa"/>
              <w:bottom w:w="0" w:type="dxa"/>
            </w:tcMar>
            <w:vAlign w:val="center"/>
          </w:tcPr>
          <w:p w14:paraId="230FE13F">
            <w:pPr>
              <w:keepNext/>
              <w:keepLines/>
              <w:spacing w:before="0" w:after="0" w:line="240" w:lineRule="auto"/>
              <w:jc w:val="left"/>
            </w:pPr>
            <w:r>
              <w:rPr>
                <w:rFonts w:ascii="Times New Roman" w:hAnsi="Times New Roman"/>
                <w:sz w:val="18"/>
              </w:rPr>
              <w:t>3293</w:t>
            </w:r>
          </w:p>
        </w:tc>
        <w:tc>
          <w:tcPr>
            <w:tcMar>
              <w:top w:w="0" w:type="dxa"/>
              <w:bottom w:w="0" w:type="dxa"/>
            </w:tcMar>
            <w:vAlign w:val="center"/>
          </w:tcPr>
          <w:p w14:paraId="4808982C">
            <w:pPr>
              <w:keepNext/>
              <w:keepLines/>
              <w:spacing w:before="0" w:after="0" w:line="240" w:lineRule="auto"/>
              <w:jc w:val="right"/>
            </w:pPr>
            <w:r>
              <w:rPr>
                <w:rFonts w:ascii="Times New Roman" w:hAnsi="Times New Roman"/>
                <w:sz w:val="18"/>
              </w:rPr>
              <w:t>225,41</w:t>
            </w:r>
          </w:p>
        </w:tc>
        <w:tc>
          <w:tcPr>
            <w:tcMar>
              <w:top w:w="0" w:type="dxa"/>
              <w:bottom w:w="0" w:type="dxa"/>
            </w:tcMar>
            <w:vAlign w:val="center"/>
          </w:tcPr>
          <w:p w14:paraId="7644B201">
            <w:pPr>
              <w:keepNext/>
              <w:keepLines/>
              <w:spacing w:before="0" w:after="0" w:line="240" w:lineRule="auto"/>
              <w:jc w:val="right"/>
            </w:pPr>
            <w:r>
              <w:rPr>
                <w:rFonts w:ascii="Times New Roman" w:hAnsi="Times New Roman"/>
                <w:sz w:val="18"/>
              </w:rPr>
              <w:t>19.544,12</w:t>
            </w:r>
          </w:p>
        </w:tc>
        <w:tc>
          <w:tcPr>
            <w:tcMar>
              <w:top w:w="0" w:type="dxa"/>
              <w:bottom w:w="0" w:type="dxa"/>
            </w:tcMar>
            <w:vAlign w:val="center"/>
          </w:tcPr>
          <w:p w14:paraId="76296481">
            <w:pPr>
              <w:keepNext/>
              <w:keepLines/>
              <w:spacing w:before="0" w:after="0" w:line="240" w:lineRule="auto"/>
              <w:jc w:val="right"/>
            </w:pPr>
            <w:r>
              <w:rPr>
                <w:rFonts w:ascii="Times New Roman" w:hAnsi="Times New Roman"/>
                <w:sz w:val="18"/>
              </w:rPr>
              <w:t>8670,5</w:t>
            </w:r>
          </w:p>
        </w:tc>
      </w:tr>
    </w:tbl>
    <w:p w14:paraId="32BCDAF0">
      <w:pPr>
        <w:spacing w:before="0" w:after="0"/>
      </w:pPr>
    </w:p>
    <w:p w14:paraId="55C945EF">
      <w:r>
        <w:t>Povećani broj aktivnosti Erasmus+ projekta vezanih za životne troškove djelatnika u usporedbi sa prošlom godinu doveo je do povećanja rashoda  na ovom kontu. </w:t>
      </w:r>
    </w:p>
    <w:p w14:paraId="4642357B"/>
    <w:p w14:paraId="3675633A">
      <w:pPr>
        <w:keepNext/>
        <w:spacing w:line="240" w:lineRule="auto"/>
        <w:jc w:val="center"/>
      </w:pPr>
      <w:r>
        <w:rPr>
          <w:rFonts w:ascii="Times New Roman" w:hAnsi="Times New Roman"/>
          <w:sz w:val="28"/>
        </w:rPr>
        <w:t>Bilješka 15.</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1F635683">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5C2AB8DB">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1B90DE12">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0378C586">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24CA498A">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7A3C4B8F">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39A704C1">
            <w:pPr>
              <w:keepNext/>
              <w:keepLines/>
              <w:spacing w:before="0" w:after="0" w:line="240" w:lineRule="auto"/>
              <w:jc w:val="center"/>
            </w:pPr>
            <w:r>
              <w:rPr>
                <w:rFonts w:ascii="Times New Roman" w:hAnsi="Times New Roman"/>
                <w:b/>
                <w:sz w:val="18"/>
              </w:rPr>
              <w:t>Indeks (%)</w:t>
            </w:r>
          </w:p>
        </w:tc>
      </w:tr>
      <w:tr w14:paraId="77F081B4">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245579B4">
            <w:pPr>
              <w:keepNext/>
              <w:keepLines/>
              <w:spacing w:before="0" w:after="0" w:line="240" w:lineRule="auto"/>
              <w:jc w:val="left"/>
            </w:pPr>
            <w:r>
              <w:rPr>
                <w:rFonts w:ascii="Times New Roman" w:hAnsi="Times New Roman"/>
                <w:sz w:val="18"/>
              </w:rPr>
              <w:t>96, 97</w:t>
            </w:r>
          </w:p>
        </w:tc>
        <w:tc>
          <w:tcPr>
            <w:tcMar>
              <w:top w:w="0" w:type="dxa"/>
              <w:bottom w:w="0" w:type="dxa"/>
            </w:tcMar>
            <w:vAlign w:val="center"/>
          </w:tcPr>
          <w:p w14:paraId="2A0555A6">
            <w:pPr>
              <w:keepNext/>
              <w:keepLines/>
              <w:spacing w:before="0" w:after="0" w:line="240" w:lineRule="auto"/>
              <w:jc w:val="left"/>
            </w:pPr>
            <w:r>
              <w:rPr>
                <w:rFonts w:ascii="Times New Roman" w:hAnsi="Times New Roman"/>
                <w:sz w:val="18"/>
              </w:rPr>
              <w:t>Obračunati prihodi poslovanja i od prodaje nefinancijske imovine - nenaplaćeni (šifre 96+97)</w:t>
            </w:r>
          </w:p>
        </w:tc>
        <w:tc>
          <w:tcPr>
            <w:tcMar>
              <w:top w:w="0" w:type="dxa"/>
              <w:bottom w:w="0" w:type="dxa"/>
            </w:tcMar>
            <w:vAlign w:val="center"/>
          </w:tcPr>
          <w:p w14:paraId="0733F8C5">
            <w:pPr>
              <w:keepNext/>
              <w:keepLines/>
              <w:spacing w:before="0" w:after="0" w:line="240" w:lineRule="auto"/>
              <w:jc w:val="left"/>
            </w:pPr>
            <w:r>
              <w:rPr>
                <w:rFonts w:ascii="Times New Roman" w:hAnsi="Times New Roman"/>
                <w:sz w:val="18"/>
              </w:rPr>
              <w:t>96,97</w:t>
            </w:r>
          </w:p>
        </w:tc>
        <w:tc>
          <w:tcPr>
            <w:tcMar>
              <w:top w:w="0" w:type="dxa"/>
              <w:bottom w:w="0" w:type="dxa"/>
            </w:tcMar>
            <w:vAlign w:val="center"/>
          </w:tcPr>
          <w:p w14:paraId="75AB26B1">
            <w:pPr>
              <w:keepNext/>
              <w:keepLines/>
              <w:spacing w:before="0" w:after="0" w:line="240" w:lineRule="auto"/>
              <w:jc w:val="right"/>
            </w:pPr>
            <w:r>
              <w:rPr>
                <w:rFonts w:ascii="Times New Roman" w:hAnsi="Times New Roman"/>
                <w:sz w:val="18"/>
              </w:rPr>
              <w:t>128.220,07</w:t>
            </w:r>
          </w:p>
        </w:tc>
        <w:tc>
          <w:tcPr>
            <w:tcMar>
              <w:top w:w="0" w:type="dxa"/>
              <w:bottom w:w="0" w:type="dxa"/>
            </w:tcMar>
            <w:vAlign w:val="center"/>
          </w:tcPr>
          <w:p w14:paraId="33C9E0D7">
            <w:pPr>
              <w:keepNext/>
              <w:keepLines/>
              <w:spacing w:before="0" w:after="0" w:line="240" w:lineRule="auto"/>
              <w:jc w:val="right"/>
            </w:pPr>
            <w:r>
              <w:rPr>
                <w:rFonts w:ascii="Times New Roman" w:hAnsi="Times New Roman"/>
                <w:sz w:val="18"/>
              </w:rPr>
              <w:t>178.255,09</w:t>
            </w:r>
          </w:p>
        </w:tc>
        <w:tc>
          <w:tcPr>
            <w:tcMar>
              <w:top w:w="0" w:type="dxa"/>
              <w:bottom w:w="0" w:type="dxa"/>
            </w:tcMar>
            <w:vAlign w:val="center"/>
          </w:tcPr>
          <w:p w14:paraId="70C3AFAC">
            <w:pPr>
              <w:keepNext/>
              <w:keepLines/>
              <w:spacing w:before="0" w:after="0" w:line="240" w:lineRule="auto"/>
              <w:jc w:val="right"/>
            </w:pPr>
            <w:r>
              <w:rPr>
                <w:rFonts w:ascii="Times New Roman" w:hAnsi="Times New Roman"/>
                <w:sz w:val="18"/>
              </w:rPr>
              <w:t>139,0</w:t>
            </w:r>
          </w:p>
        </w:tc>
      </w:tr>
    </w:tbl>
    <w:p w14:paraId="46DF3E2F">
      <w:pPr>
        <w:spacing w:before="0" w:after="0"/>
      </w:pPr>
    </w:p>
    <w:p w14:paraId="2FFE080D">
      <w:r>
        <w:t>Obračunati prihodi poslovanja koji nisu naplaćeni do kraja ovog obračunskog razdoblja odnose se na plaće djelatnika, prehranu učenika kao i dio materijalnih troškova za lipanj 2026.god.</w:t>
      </w:r>
    </w:p>
    <w:p w14:paraId="4833EE13"/>
    <w:p w14:paraId="1669356B">
      <w:pPr>
        <w:keepNext/>
        <w:spacing w:line="240" w:lineRule="auto"/>
        <w:jc w:val="center"/>
      </w:pPr>
      <w:r>
        <w:rPr>
          <w:rFonts w:ascii="Times New Roman" w:hAnsi="Times New Roman"/>
          <w:sz w:val="28"/>
        </w:rPr>
        <w:t>Bilješka 16.</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5C93292D">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12722AF0">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6E12C306">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60FF8850">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540287B7">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6A689DA0">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35164F43">
            <w:pPr>
              <w:keepNext/>
              <w:keepLines/>
              <w:spacing w:before="0" w:after="0" w:line="240" w:lineRule="auto"/>
              <w:jc w:val="center"/>
            </w:pPr>
            <w:r>
              <w:rPr>
                <w:rFonts w:ascii="Times New Roman" w:hAnsi="Times New Roman"/>
                <w:b/>
                <w:sz w:val="18"/>
              </w:rPr>
              <w:t>Indeks (%)</w:t>
            </w:r>
          </w:p>
        </w:tc>
      </w:tr>
      <w:tr w14:paraId="1D49EB50">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03102A9E">
            <w:pPr>
              <w:keepNext/>
              <w:keepLines/>
              <w:spacing w:before="0" w:after="0" w:line="240" w:lineRule="auto"/>
              <w:jc w:val="left"/>
            </w:pPr>
          </w:p>
        </w:tc>
        <w:tc>
          <w:tcPr>
            <w:tcMar>
              <w:top w:w="0" w:type="dxa"/>
              <w:bottom w:w="0" w:type="dxa"/>
            </w:tcMar>
            <w:vAlign w:val="center"/>
          </w:tcPr>
          <w:p w14:paraId="3DBDB12F">
            <w:pPr>
              <w:keepNext/>
              <w:keepLines/>
              <w:spacing w:before="0" w:after="0" w:line="240" w:lineRule="auto"/>
              <w:jc w:val="left"/>
            </w:pPr>
            <w:r>
              <w:rPr>
                <w:rFonts w:ascii="Times New Roman" w:hAnsi="Times New Roman"/>
                <w:sz w:val="18"/>
              </w:rPr>
              <w:t>Manjak prihoda i primitaka za pokriće u sljedećem razdoblju (šifre Y005 + '9222-9221' - X005 - '9221-9222' )</w:t>
            </w:r>
          </w:p>
        </w:tc>
        <w:tc>
          <w:tcPr>
            <w:tcMar>
              <w:top w:w="0" w:type="dxa"/>
              <w:bottom w:w="0" w:type="dxa"/>
            </w:tcMar>
            <w:vAlign w:val="center"/>
          </w:tcPr>
          <w:p w14:paraId="1D98082F">
            <w:pPr>
              <w:keepNext/>
              <w:keepLines/>
              <w:spacing w:before="0" w:after="0" w:line="240" w:lineRule="auto"/>
              <w:jc w:val="left"/>
            </w:pPr>
            <w:r>
              <w:rPr>
                <w:rFonts w:ascii="Times New Roman" w:hAnsi="Times New Roman"/>
                <w:sz w:val="18"/>
              </w:rPr>
              <w:t>Y006</w:t>
            </w:r>
          </w:p>
        </w:tc>
        <w:tc>
          <w:tcPr>
            <w:tcMar>
              <w:top w:w="0" w:type="dxa"/>
              <w:bottom w:w="0" w:type="dxa"/>
            </w:tcMar>
            <w:vAlign w:val="center"/>
          </w:tcPr>
          <w:p w14:paraId="6BD786B8">
            <w:pPr>
              <w:keepNext/>
              <w:keepLines/>
              <w:spacing w:before="0" w:after="0" w:line="240" w:lineRule="auto"/>
              <w:jc w:val="right"/>
            </w:pPr>
            <w:r>
              <w:rPr>
                <w:rFonts w:ascii="Times New Roman" w:hAnsi="Times New Roman"/>
                <w:sz w:val="18"/>
              </w:rPr>
              <w:t>50.713,05</w:t>
            </w:r>
          </w:p>
        </w:tc>
        <w:tc>
          <w:tcPr>
            <w:tcMar>
              <w:top w:w="0" w:type="dxa"/>
              <w:bottom w:w="0" w:type="dxa"/>
            </w:tcMar>
            <w:vAlign w:val="center"/>
          </w:tcPr>
          <w:p w14:paraId="2989FA96">
            <w:pPr>
              <w:keepNext/>
              <w:keepLines/>
              <w:spacing w:before="0" w:after="0" w:line="240" w:lineRule="auto"/>
              <w:jc w:val="right"/>
            </w:pPr>
            <w:r>
              <w:rPr>
                <w:rFonts w:ascii="Times New Roman" w:hAnsi="Times New Roman"/>
                <w:sz w:val="18"/>
              </w:rPr>
              <w:t>158.646,03</w:t>
            </w:r>
          </w:p>
        </w:tc>
        <w:tc>
          <w:tcPr>
            <w:tcMar>
              <w:top w:w="0" w:type="dxa"/>
              <w:bottom w:w="0" w:type="dxa"/>
            </w:tcMar>
            <w:vAlign w:val="center"/>
          </w:tcPr>
          <w:p w14:paraId="68096FA7">
            <w:pPr>
              <w:keepNext/>
              <w:keepLines/>
              <w:spacing w:before="0" w:after="0" w:line="240" w:lineRule="auto"/>
              <w:jc w:val="right"/>
            </w:pPr>
            <w:r>
              <w:rPr>
                <w:rFonts w:ascii="Times New Roman" w:hAnsi="Times New Roman"/>
                <w:sz w:val="18"/>
              </w:rPr>
              <w:t>312,8</w:t>
            </w:r>
          </w:p>
        </w:tc>
      </w:tr>
    </w:tbl>
    <w:p w14:paraId="187B14F7">
      <w:pPr>
        <w:spacing w:before="0" w:after="0"/>
      </w:pPr>
    </w:p>
    <w:p w14:paraId="60C7E1E9">
      <w:r>
        <w:t>Obzirom da je sa danom 30.6.2026.god. utvrđeno da su rashodi veći od prihoda, uzevši u obzir i manjak sa kraja prošle kalendarske godine, dolazi do značajnog knjigovodstvenog manjak u ovom razdoblju. Manjak se odnosi na obračunate a neisplaćene plaće djelatnika škole kao i pristigle a nepodmirene rashode za prehranu učenika te materijalne troškove za lipanj 2026.god.</w:t>
      </w:r>
    </w:p>
    <w:p w14:paraId="727B668C"/>
    <w:p w14:paraId="499600FD">
      <w:pPr>
        <w:keepNext/>
        <w:spacing w:line="240" w:lineRule="auto"/>
        <w:jc w:val="center"/>
      </w:pPr>
      <w:r>
        <w:rPr>
          <w:rFonts w:ascii="Times New Roman" w:hAnsi="Times New Roman"/>
          <w:sz w:val="28"/>
        </w:rPr>
        <w:t>Bilješka 17.</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0FFAA1F6">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01BB34F1">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3DA75864">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43415EBB">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6050A140">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3674CA47">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3054AE32">
            <w:pPr>
              <w:keepNext/>
              <w:keepLines/>
              <w:spacing w:before="0" w:after="0" w:line="240" w:lineRule="auto"/>
              <w:jc w:val="center"/>
            </w:pPr>
            <w:r>
              <w:rPr>
                <w:rFonts w:ascii="Times New Roman" w:hAnsi="Times New Roman"/>
                <w:b/>
                <w:sz w:val="18"/>
              </w:rPr>
              <w:t>Indeks (%)</w:t>
            </w:r>
          </w:p>
        </w:tc>
      </w:tr>
      <w:tr w14:paraId="13E585F6">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1EF05EBB">
            <w:pPr>
              <w:keepNext/>
              <w:keepLines/>
              <w:spacing w:before="0" w:after="0" w:line="240" w:lineRule="auto"/>
              <w:jc w:val="left"/>
            </w:pPr>
          </w:p>
        </w:tc>
        <w:tc>
          <w:tcPr>
            <w:tcMar>
              <w:top w:w="0" w:type="dxa"/>
              <w:bottom w:w="0" w:type="dxa"/>
            </w:tcMar>
            <w:vAlign w:val="center"/>
          </w:tcPr>
          <w:p w14:paraId="31DC25CE">
            <w:pPr>
              <w:keepNext/>
              <w:keepLines/>
              <w:spacing w:before="0" w:after="0" w:line="240" w:lineRule="auto"/>
              <w:jc w:val="left"/>
            </w:pPr>
            <w:r>
              <w:rPr>
                <w:rFonts w:ascii="Times New Roman" w:hAnsi="Times New Roman"/>
                <w:sz w:val="18"/>
              </w:rPr>
              <w:t>Prosječan broj zaposlenih kod korisnika na osnovi stanja na početku i na kraju izvještajnog razdoblja (cijeli broj)</w:t>
            </w:r>
          </w:p>
        </w:tc>
        <w:tc>
          <w:tcPr>
            <w:tcMar>
              <w:top w:w="0" w:type="dxa"/>
              <w:bottom w:w="0" w:type="dxa"/>
            </w:tcMar>
            <w:vAlign w:val="center"/>
          </w:tcPr>
          <w:p w14:paraId="5F30B399">
            <w:pPr>
              <w:keepNext/>
              <w:keepLines/>
              <w:spacing w:before="0" w:after="0" w:line="240" w:lineRule="auto"/>
              <w:jc w:val="left"/>
            </w:pPr>
            <w:r>
              <w:rPr>
                <w:rFonts w:ascii="Times New Roman" w:hAnsi="Times New Roman"/>
                <w:sz w:val="18"/>
              </w:rPr>
              <w:t>Z007</w:t>
            </w:r>
          </w:p>
        </w:tc>
        <w:tc>
          <w:tcPr>
            <w:tcMar>
              <w:top w:w="0" w:type="dxa"/>
              <w:bottom w:w="0" w:type="dxa"/>
            </w:tcMar>
            <w:vAlign w:val="center"/>
          </w:tcPr>
          <w:p w14:paraId="286884AB">
            <w:pPr>
              <w:keepNext/>
              <w:keepLines/>
              <w:spacing w:before="0" w:after="0" w:line="240" w:lineRule="auto"/>
              <w:jc w:val="right"/>
            </w:pPr>
            <w:r>
              <w:rPr>
                <w:rFonts w:ascii="Times New Roman" w:hAnsi="Times New Roman"/>
                <w:sz w:val="18"/>
              </w:rPr>
              <w:t>59,00</w:t>
            </w:r>
          </w:p>
        </w:tc>
        <w:tc>
          <w:tcPr>
            <w:tcMar>
              <w:top w:w="0" w:type="dxa"/>
              <w:bottom w:w="0" w:type="dxa"/>
            </w:tcMar>
            <w:vAlign w:val="center"/>
          </w:tcPr>
          <w:p w14:paraId="6D664E33">
            <w:pPr>
              <w:keepNext/>
              <w:keepLines/>
              <w:spacing w:before="0" w:after="0" w:line="240" w:lineRule="auto"/>
              <w:jc w:val="right"/>
            </w:pPr>
            <w:r>
              <w:rPr>
                <w:rFonts w:ascii="Times New Roman" w:hAnsi="Times New Roman"/>
                <w:sz w:val="18"/>
              </w:rPr>
              <w:t>70,00</w:t>
            </w:r>
          </w:p>
        </w:tc>
        <w:tc>
          <w:tcPr>
            <w:tcMar>
              <w:top w:w="0" w:type="dxa"/>
              <w:bottom w:w="0" w:type="dxa"/>
            </w:tcMar>
            <w:vAlign w:val="center"/>
          </w:tcPr>
          <w:p w14:paraId="1FCD5C3E">
            <w:pPr>
              <w:keepNext/>
              <w:keepLines/>
              <w:spacing w:before="0" w:after="0" w:line="240" w:lineRule="auto"/>
              <w:jc w:val="right"/>
            </w:pPr>
            <w:r>
              <w:rPr>
                <w:rFonts w:ascii="Times New Roman" w:hAnsi="Times New Roman"/>
                <w:sz w:val="18"/>
              </w:rPr>
              <w:t>118,6</w:t>
            </w:r>
          </w:p>
        </w:tc>
      </w:tr>
    </w:tbl>
    <w:p w14:paraId="20543001">
      <w:pPr>
        <w:spacing w:before="0" w:after="0"/>
      </w:pPr>
    </w:p>
    <w:p w14:paraId="79D4787A">
      <w:r>
        <w:t>U ovom razdoblju u obzir smo uzeli i djelatnike u produženom boravku kao i pomoćnike u nastavi što prošle godine u istom razdoblju nismo.</w:t>
      </w:r>
    </w:p>
    <w:p w14:paraId="025684B4"/>
    <w:p w14:paraId="34ABF44D">
      <w:pPr>
        <w:keepNext/>
        <w:spacing w:line="240" w:lineRule="auto"/>
        <w:jc w:val="center"/>
      </w:pPr>
      <w:r>
        <w:rPr>
          <w:rFonts w:ascii="Times New Roman" w:hAnsi="Times New Roman"/>
          <w:sz w:val="28"/>
        </w:rPr>
        <w:t>Bilješka 18.</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1860"/>
        <w:gridCol w:w="700"/>
      </w:tblGrid>
      <w:tr w14:paraId="54646B91">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30B8C735">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1F74F0F6">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01A988E5">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3220AE9D">
            <w:pPr>
              <w:keepNext/>
              <w:keepLines/>
              <w:spacing w:before="0" w:after="0" w:line="240" w:lineRule="auto"/>
              <w:jc w:val="center"/>
            </w:pPr>
            <w:r>
              <w:rPr>
                <w:rFonts w:ascii="Times New Roman" w:hAnsi="Times New Roman"/>
                <w:b/>
                <w:sz w:val="18"/>
              </w:rPr>
              <w:t>Ostvareno u izvještajnom razdoblju prethodne godine</w:t>
            </w:r>
          </w:p>
        </w:tc>
        <w:tc>
          <w:tcPr>
            <w:shd w:val="clear" w:color="auto" w:fill="E7F0F9"/>
            <w:tcMar>
              <w:top w:w="0" w:type="dxa"/>
              <w:bottom w:w="0" w:type="dxa"/>
            </w:tcMar>
            <w:vAlign w:val="center"/>
          </w:tcPr>
          <w:p w14:paraId="7B86B342">
            <w:pPr>
              <w:keepNext/>
              <w:keepLines/>
              <w:spacing w:before="0" w:after="0" w:line="240" w:lineRule="auto"/>
              <w:jc w:val="center"/>
            </w:pPr>
            <w:r>
              <w:rPr>
                <w:rFonts w:ascii="Times New Roman" w:hAnsi="Times New Roman"/>
                <w:b/>
                <w:sz w:val="18"/>
              </w:rPr>
              <w:t>Ostvareno u izvještajnom razdoblju tekuće godine</w:t>
            </w:r>
          </w:p>
        </w:tc>
        <w:tc>
          <w:tcPr>
            <w:shd w:val="clear" w:color="auto" w:fill="E7F0F9"/>
            <w:tcMar>
              <w:top w:w="0" w:type="dxa"/>
              <w:bottom w:w="0" w:type="dxa"/>
            </w:tcMar>
            <w:vAlign w:val="center"/>
          </w:tcPr>
          <w:p w14:paraId="30D06874">
            <w:pPr>
              <w:keepNext/>
              <w:keepLines/>
              <w:spacing w:before="0" w:after="0" w:line="240" w:lineRule="auto"/>
              <w:jc w:val="center"/>
            </w:pPr>
            <w:r>
              <w:rPr>
                <w:rFonts w:ascii="Times New Roman" w:hAnsi="Times New Roman"/>
                <w:b/>
                <w:sz w:val="18"/>
              </w:rPr>
              <w:t>Indeks (%)</w:t>
            </w:r>
          </w:p>
        </w:tc>
      </w:tr>
      <w:tr w14:paraId="0C21AABA">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666E2A71">
            <w:pPr>
              <w:keepNext/>
              <w:keepLines/>
              <w:spacing w:before="0" w:after="0" w:line="240" w:lineRule="auto"/>
              <w:jc w:val="left"/>
            </w:pPr>
          </w:p>
        </w:tc>
        <w:tc>
          <w:tcPr>
            <w:tcMar>
              <w:top w:w="0" w:type="dxa"/>
              <w:bottom w:w="0" w:type="dxa"/>
            </w:tcMar>
            <w:vAlign w:val="center"/>
          </w:tcPr>
          <w:p w14:paraId="2AB64781">
            <w:pPr>
              <w:keepNext/>
              <w:keepLines/>
              <w:spacing w:before="0" w:after="0" w:line="240" w:lineRule="auto"/>
              <w:jc w:val="left"/>
            </w:pPr>
            <w:r>
              <w:rPr>
                <w:rFonts w:ascii="Times New Roman" w:hAnsi="Times New Roman"/>
                <w:sz w:val="18"/>
              </w:rPr>
              <w:t>Prosječan broj zaposlenih kod korisnika na osnovi sati rada (cijeli broj)</w:t>
            </w:r>
          </w:p>
        </w:tc>
        <w:tc>
          <w:tcPr>
            <w:tcMar>
              <w:top w:w="0" w:type="dxa"/>
              <w:bottom w:w="0" w:type="dxa"/>
            </w:tcMar>
            <w:vAlign w:val="center"/>
          </w:tcPr>
          <w:p w14:paraId="37B5269A">
            <w:pPr>
              <w:keepNext/>
              <w:keepLines/>
              <w:spacing w:before="0" w:after="0" w:line="240" w:lineRule="auto"/>
              <w:jc w:val="left"/>
            </w:pPr>
            <w:r>
              <w:rPr>
                <w:rFonts w:ascii="Times New Roman" w:hAnsi="Times New Roman"/>
                <w:sz w:val="18"/>
              </w:rPr>
              <w:t>Z009</w:t>
            </w:r>
          </w:p>
        </w:tc>
        <w:tc>
          <w:tcPr>
            <w:tcMar>
              <w:top w:w="0" w:type="dxa"/>
              <w:bottom w:w="0" w:type="dxa"/>
            </w:tcMar>
            <w:vAlign w:val="center"/>
          </w:tcPr>
          <w:p w14:paraId="005EE9F3">
            <w:pPr>
              <w:keepNext/>
              <w:keepLines/>
              <w:spacing w:before="0" w:after="0" w:line="240" w:lineRule="auto"/>
              <w:jc w:val="right"/>
            </w:pPr>
            <w:r>
              <w:rPr>
                <w:rFonts w:ascii="Times New Roman" w:hAnsi="Times New Roman"/>
                <w:sz w:val="18"/>
              </w:rPr>
              <w:t>53,00</w:t>
            </w:r>
          </w:p>
        </w:tc>
        <w:tc>
          <w:tcPr>
            <w:tcMar>
              <w:top w:w="0" w:type="dxa"/>
              <w:bottom w:w="0" w:type="dxa"/>
            </w:tcMar>
            <w:vAlign w:val="center"/>
          </w:tcPr>
          <w:p w14:paraId="5D49FBEC">
            <w:pPr>
              <w:keepNext/>
              <w:keepLines/>
              <w:spacing w:before="0" w:after="0" w:line="240" w:lineRule="auto"/>
              <w:jc w:val="right"/>
            </w:pPr>
            <w:r>
              <w:rPr>
                <w:rFonts w:ascii="Times New Roman" w:hAnsi="Times New Roman"/>
                <w:sz w:val="18"/>
              </w:rPr>
              <w:t>62,00</w:t>
            </w:r>
          </w:p>
        </w:tc>
        <w:tc>
          <w:tcPr>
            <w:tcMar>
              <w:top w:w="0" w:type="dxa"/>
              <w:bottom w:w="0" w:type="dxa"/>
            </w:tcMar>
            <w:vAlign w:val="center"/>
          </w:tcPr>
          <w:p w14:paraId="73C4E698">
            <w:pPr>
              <w:keepNext/>
              <w:keepLines/>
              <w:spacing w:before="0" w:after="0" w:line="240" w:lineRule="auto"/>
              <w:jc w:val="right"/>
            </w:pPr>
            <w:r>
              <w:rPr>
                <w:rFonts w:ascii="Times New Roman" w:hAnsi="Times New Roman"/>
                <w:sz w:val="18"/>
              </w:rPr>
              <w:t>117,0</w:t>
            </w:r>
          </w:p>
        </w:tc>
      </w:tr>
    </w:tbl>
    <w:p w14:paraId="2B360EFD">
      <w:pPr>
        <w:spacing w:before="0" w:after="0"/>
      </w:pPr>
    </w:p>
    <w:p w14:paraId="18464062">
      <w:r>
        <w:t>U ovom razdoblju uzeli smo u obziro i djelatnike u produženom boravku kao i pomoćnike u nastavi što u prošloj godini nismo.</w:t>
      </w:r>
    </w:p>
    <w:p w14:paraId="16B39513"/>
    <w:p w14:paraId="094611BE">
      <w:pPr>
        <w:keepNext/>
        <w:spacing w:line="240" w:lineRule="auto"/>
        <w:jc w:val="center"/>
      </w:pPr>
      <w:r>
        <w:rPr>
          <w:rFonts w:ascii="Times New Roman" w:hAnsi="Times New Roman"/>
          <w:b/>
          <w:sz w:val="28"/>
        </w:rPr>
        <w:t>Izvještaj o obvezama</w:t>
      </w:r>
    </w:p>
    <w:p w14:paraId="3D214006">
      <w:pPr>
        <w:keepNext/>
        <w:spacing w:line="240" w:lineRule="auto"/>
        <w:jc w:val="center"/>
      </w:pPr>
      <w:r>
        <w:rPr>
          <w:rFonts w:ascii="Times New Roman" w:hAnsi="Times New Roman"/>
          <w:sz w:val="28"/>
        </w:rPr>
        <w:t>Bilješka 19.</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700"/>
      </w:tblGrid>
      <w:tr w14:paraId="773303DF">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6B009A2E">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5EAA7302">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51255FA0">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6561ED78">
            <w:pPr>
              <w:keepNext/>
              <w:keepLines/>
              <w:spacing w:before="0" w:after="0" w:line="240" w:lineRule="auto"/>
              <w:jc w:val="center"/>
            </w:pPr>
            <w:r>
              <w:rPr>
                <w:rFonts w:ascii="Times New Roman" w:hAnsi="Times New Roman"/>
                <w:b/>
                <w:sz w:val="18"/>
              </w:rPr>
              <w:t>Iznos</w:t>
            </w:r>
          </w:p>
        </w:tc>
        <w:tc>
          <w:tcPr>
            <w:shd w:val="clear" w:color="auto" w:fill="E7F0F9"/>
            <w:tcMar>
              <w:top w:w="0" w:type="dxa"/>
              <w:bottom w:w="0" w:type="dxa"/>
            </w:tcMar>
            <w:vAlign w:val="center"/>
          </w:tcPr>
          <w:p w14:paraId="54C9B7D9">
            <w:pPr>
              <w:keepNext/>
              <w:keepLines/>
              <w:spacing w:before="0" w:after="0" w:line="240" w:lineRule="auto"/>
              <w:jc w:val="center"/>
            </w:pPr>
            <w:r>
              <w:rPr>
                <w:rFonts w:ascii="Times New Roman" w:hAnsi="Times New Roman"/>
                <w:b/>
                <w:sz w:val="18"/>
              </w:rPr>
              <w:t>Indeks (%)</w:t>
            </w:r>
          </w:p>
        </w:tc>
      </w:tr>
      <w:tr w14:paraId="5C4461FE">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37C9E655">
            <w:pPr>
              <w:keepNext/>
              <w:keepLines/>
              <w:spacing w:before="0" w:after="0" w:line="240" w:lineRule="auto"/>
              <w:jc w:val="left"/>
            </w:pPr>
          </w:p>
        </w:tc>
        <w:tc>
          <w:tcPr>
            <w:tcMar>
              <w:top w:w="0" w:type="dxa"/>
              <w:bottom w:w="0" w:type="dxa"/>
            </w:tcMar>
            <w:vAlign w:val="center"/>
          </w:tcPr>
          <w:p w14:paraId="3B68B3FA">
            <w:pPr>
              <w:keepNext/>
              <w:keepLines/>
              <w:spacing w:before="0" w:after="0" w:line="240" w:lineRule="auto"/>
              <w:jc w:val="left"/>
            </w:pPr>
            <w:r>
              <w:rPr>
                <w:rFonts w:ascii="Times New Roman" w:hAnsi="Times New Roman"/>
                <w:sz w:val="18"/>
              </w:rPr>
              <w:t>Stanje obveza 1. siječnja (=stanju obveza iz Izvještaja o obvezama na 31. prosinca prethodne godine)</w:t>
            </w:r>
          </w:p>
        </w:tc>
        <w:tc>
          <w:tcPr>
            <w:tcMar>
              <w:top w:w="0" w:type="dxa"/>
              <w:bottom w:w="0" w:type="dxa"/>
            </w:tcMar>
            <w:vAlign w:val="center"/>
          </w:tcPr>
          <w:p w14:paraId="720EF82A">
            <w:pPr>
              <w:keepNext/>
              <w:keepLines/>
              <w:spacing w:before="0" w:after="0" w:line="240" w:lineRule="auto"/>
              <w:jc w:val="left"/>
            </w:pPr>
            <w:r>
              <w:rPr>
                <w:rFonts w:ascii="Times New Roman" w:hAnsi="Times New Roman"/>
                <w:sz w:val="18"/>
              </w:rPr>
              <w:t>V001</w:t>
            </w:r>
          </w:p>
        </w:tc>
        <w:tc>
          <w:tcPr>
            <w:tcMar>
              <w:top w:w="0" w:type="dxa"/>
              <w:bottom w:w="0" w:type="dxa"/>
            </w:tcMar>
            <w:vAlign w:val="center"/>
          </w:tcPr>
          <w:p w14:paraId="4F4BB53A">
            <w:pPr>
              <w:keepNext/>
              <w:keepLines/>
              <w:spacing w:before="0" w:after="0" w:line="240" w:lineRule="auto"/>
              <w:jc w:val="right"/>
            </w:pPr>
            <w:r>
              <w:rPr>
                <w:rFonts w:ascii="Times New Roman" w:hAnsi="Times New Roman"/>
                <w:sz w:val="18"/>
              </w:rPr>
              <w:t>169.282,74</w:t>
            </w:r>
          </w:p>
        </w:tc>
        <w:tc>
          <w:tcPr>
            <w:tcMar>
              <w:top w:w="0" w:type="dxa"/>
              <w:bottom w:w="0" w:type="dxa"/>
            </w:tcMar>
            <w:vAlign w:val="center"/>
          </w:tcPr>
          <w:p w14:paraId="4DF6ECDF">
            <w:pPr>
              <w:keepNext/>
              <w:keepLines/>
              <w:spacing w:before="0" w:after="0" w:line="240" w:lineRule="auto"/>
              <w:jc w:val="right"/>
            </w:pPr>
            <w:r>
              <w:rPr>
                <w:rFonts w:ascii="Times New Roman" w:hAnsi="Times New Roman"/>
                <w:sz w:val="18"/>
              </w:rPr>
              <w:t>-</w:t>
            </w:r>
          </w:p>
        </w:tc>
      </w:tr>
    </w:tbl>
    <w:p w14:paraId="24106511">
      <w:pPr>
        <w:spacing w:before="0" w:after="0"/>
      </w:pPr>
    </w:p>
    <w:p w14:paraId="7ADCB4A0">
      <w:r>
        <w:t>Stanje obveza na početku izvještajnog razdoblja je stanje iz Financijskog izvješća za 2025.god. na šifri V009.</w:t>
      </w:r>
    </w:p>
    <w:p w14:paraId="13E3B2FB"/>
    <w:p w14:paraId="59C21986">
      <w:pPr>
        <w:keepNext/>
        <w:spacing w:line="240" w:lineRule="auto"/>
        <w:jc w:val="center"/>
      </w:pPr>
      <w:r>
        <w:rPr>
          <w:rFonts w:ascii="Times New Roman" w:hAnsi="Times New Roman"/>
          <w:sz w:val="28"/>
        </w:rPr>
        <w:t>Bilješka 20.</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700"/>
      </w:tblGrid>
      <w:tr w14:paraId="15C35764">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5E06D3B0">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3753FC1B">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22D86454">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212126E7">
            <w:pPr>
              <w:keepNext/>
              <w:keepLines/>
              <w:spacing w:before="0" w:after="0" w:line="240" w:lineRule="auto"/>
              <w:jc w:val="center"/>
            </w:pPr>
            <w:r>
              <w:rPr>
                <w:rFonts w:ascii="Times New Roman" w:hAnsi="Times New Roman"/>
                <w:b/>
                <w:sz w:val="18"/>
              </w:rPr>
              <w:t>Iznos</w:t>
            </w:r>
          </w:p>
        </w:tc>
        <w:tc>
          <w:tcPr>
            <w:shd w:val="clear" w:color="auto" w:fill="E7F0F9"/>
            <w:tcMar>
              <w:top w:w="0" w:type="dxa"/>
              <w:bottom w:w="0" w:type="dxa"/>
            </w:tcMar>
            <w:vAlign w:val="center"/>
          </w:tcPr>
          <w:p w14:paraId="03FCCA2D">
            <w:pPr>
              <w:keepNext/>
              <w:keepLines/>
              <w:spacing w:before="0" w:after="0" w:line="240" w:lineRule="auto"/>
              <w:jc w:val="center"/>
            </w:pPr>
            <w:r>
              <w:rPr>
                <w:rFonts w:ascii="Times New Roman" w:hAnsi="Times New Roman"/>
                <w:b/>
                <w:sz w:val="18"/>
              </w:rPr>
              <w:t>Indeks (%)</w:t>
            </w:r>
          </w:p>
        </w:tc>
      </w:tr>
      <w:tr w14:paraId="39C9DACF">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60EA69CF">
            <w:pPr>
              <w:keepNext/>
              <w:keepLines/>
              <w:spacing w:before="0" w:after="0" w:line="240" w:lineRule="auto"/>
              <w:jc w:val="left"/>
            </w:pPr>
          </w:p>
        </w:tc>
        <w:tc>
          <w:tcPr>
            <w:tcMar>
              <w:top w:w="0" w:type="dxa"/>
              <w:bottom w:w="0" w:type="dxa"/>
            </w:tcMar>
            <w:vAlign w:val="center"/>
          </w:tcPr>
          <w:p w14:paraId="18B7B11D">
            <w:pPr>
              <w:keepNext/>
              <w:keepLines/>
              <w:spacing w:before="0" w:after="0" w:line="240" w:lineRule="auto"/>
              <w:jc w:val="left"/>
            </w:pPr>
            <w:r>
              <w:rPr>
                <w:rFonts w:ascii="Times New Roman" w:hAnsi="Times New Roman"/>
                <w:sz w:val="18"/>
              </w:rPr>
              <w:t>Stanje dospjelih obveza na kraju izvještajnog razdoblja (šifre V008+D23+D24 + 'D dio 25,26' + D27)</w:t>
            </w:r>
          </w:p>
        </w:tc>
        <w:tc>
          <w:tcPr>
            <w:tcMar>
              <w:top w:w="0" w:type="dxa"/>
              <w:bottom w:w="0" w:type="dxa"/>
            </w:tcMar>
            <w:vAlign w:val="center"/>
          </w:tcPr>
          <w:p w14:paraId="3279C842">
            <w:pPr>
              <w:keepNext/>
              <w:keepLines/>
              <w:spacing w:before="0" w:after="0" w:line="240" w:lineRule="auto"/>
              <w:jc w:val="left"/>
            </w:pPr>
            <w:r>
              <w:rPr>
                <w:rFonts w:ascii="Times New Roman" w:hAnsi="Times New Roman"/>
                <w:sz w:val="18"/>
              </w:rPr>
              <w:t>V007</w:t>
            </w:r>
          </w:p>
        </w:tc>
        <w:tc>
          <w:tcPr>
            <w:tcMar>
              <w:top w:w="0" w:type="dxa"/>
              <w:bottom w:w="0" w:type="dxa"/>
            </w:tcMar>
            <w:vAlign w:val="center"/>
          </w:tcPr>
          <w:p w14:paraId="364D793E">
            <w:pPr>
              <w:keepNext/>
              <w:keepLines/>
              <w:spacing w:before="0" w:after="0" w:line="240" w:lineRule="auto"/>
              <w:jc w:val="right"/>
            </w:pPr>
            <w:r>
              <w:rPr>
                <w:rFonts w:ascii="Times New Roman" w:hAnsi="Times New Roman"/>
                <w:sz w:val="18"/>
              </w:rPr>
              <w:t>0,00</w:t>
            </w:r>
          </w:p>
        </w:tc>
        <w:tc>
          <w:tcPr>
            <w:tcMar>
              <w:top w:w="0" w:type="dxa"/>
              <w:bottom w:w="0" w:type="dxa"/>
            </w:tcMar>
            <w:vAlign w:val="center"/>
          </w:tcPr>
          <w:p w14:paraId="1F693618">
            <w:pPr>
              <w:keepNext/>
              <w:keepLines/>
              <w:spacing w:before="0" w:after="0" w:line="240" w:lineRule="auto"/>
              <w:jc w:val="right"/>
            </w:pPr>
            <w:r>
              <w:rPr>
                <w:rFonts w:ascii="Times New Roman" w:hAnsi="Times New Roman"/>
                <w:sz w:val="18"/>
              </w:rPr>
              <w:t>-</w:t>
            </w:r>
          </w:p>
        </w:tc>
      </w:tr>
    </w:tbl>
    <w:p w14:paraId="1D4E427C">
      <w:pPr>
        <w:spacing w:before="0" w:after="0"/>
      </w:pPr>
    </w:p>
    <w:p w14:paraId="35FD631C">
      <w:r>
        <w:t>Nema dospjelih obveza na kraju izvještajnog razdoblja. Sve su obveze nedospjele što se vidi na šifri V009. </w:t>
      </w:r>
    </w:p>
    <w:p w14:paraId="3CA9A7AF"/>
    <w:p w14:paraId="47CBDFA8">
      <w:pPr>
        <w:keepNext/>
        <w:spacing w:line="240" w:lineRule="auto"/>
        <w:jc w:val="center"/>
      </w:pPr>
      <w:r>
        <w:rPr>
          <w:rFonts w:ascii="Times New Roman" w:hAnsi="Times New Roman"/>
          <w:sz w:val="28"/>
        </w:rPr>
        <w:t>Bilješka 21.</w:t>
      </w:r>
    </w:p>
    <w:tbl>
      <w:tblPr>
        <w:tblStyle w:val="3"/>
        <w:tblW w:w="9000" w:type="dxa"/>
        <w:tblInd w:w="0" w:type="dxa"/>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Layout w:type="fixed"/>
        <w:tblCellMar>
          <w:top w:w="0" w:type="dxa"/>
          <w:left w:w="40" w:type="dxa"/>
          <w:bottom w:w="0" w:type="dxa"/>
          <w:right w:w="40" w:type="dxa"/>
        </w:tblCellMar>
      </w:tblPr>
      <w:tblGrid>
        <w:gridCol w:w="700"/>
        <w:gridCol w:w="3180"/>
        <w:gridCol w:w="700"/>
        <w:gridCol w:w="1860"/>
        <w:gridCol w:w="700"/>
      </w:tblGrid>
      <w:tr w14:paraId="3D3F657E">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Pr>
        <w:tc>
          <w:tcPr>
            <w:shd w:val="clear" w:color="auto" w:fill="E7F0F9"/>
            <w:tcMar>
              <w:top w:w="0" w:type="dxa"/>
              <w:bottom w:w="0" w:type="dxa"/>
            </w:tcMar>
            <w:vAlign w:val="center"/>
          </w:tcPr>
          <w:p w14:paraId="686C37FC">
            <w:pPr>
              <w:keepNext/>
              <w:keepLines/>
              <w:spacing w:before="0" w:after="0" w:line="240" w:lineRule="auto"/>
              <w:jc w:val="center"/>
            </w:pPr>
            <w:r>
              <w:rPr>
                <w:rFonts w:ascii="Times New Roman" w:hAnsi="Times New Roman"/>
                <w:b/>
                <w:sz w:val="18"/>
              </w:rPr>
              <w:t>Račun iz rač. plana</w:t>
            </w:r>
          </w:p>
        </w:tc>
        <w:tc>
          <w:tcPr>
            <w:shd w:val="clear" w:color="auto" w:fill="E7F0F9"/>
            <w:tcMar>
              <w:top w:w="0" w:type="dxa"/>
              <w:bottom w:w="0" w:type="dxa"/>
            </w:tcMar>
            <w:vAlign w:val="center"/>
          </w:tcPr>
          <w:p w14:paraId="77C37951">
            <w:pPr>
              <w:keepNext/>
              <w:keepLines/>
              <w:spacing w:before="0" w:after="0" w:line="240" w:lineRule="auto"/>
              <w:jc w:val="center"/>
            </w:pPr>
            <w:r>
              <w:rPr>
                <w:rFonts w:ascii="Times New Roman" w:hAnsi="Times New Roman"/>
                <w:b/>
                <w:sz w:val="18"/>
              </w:rPr>
              <w:t>Opis stavke</w:t>
            </w:r>
          </w:p>
        </w:tc>
        <w:tc>
          <w:tcPr>
            <w:shd w:val="clear" w:color="auto" w:fill="E7F0F9"/>
            <w:tcMar>
              <w:top w:w="0" w:type="dxa"/>
              <w:bottom w:w="0" w:type="dxa"/>
            </w:tcMar>
            <w:vAlign w:val="center"/>
          </w:tcPr>
          <w:p w14:paraId="6DF2CF40">
            <w:pPr>
              <w:keepNext/>
              <w:keepLines/>
              <w:spacing w:before="0" w:after="0" w:line="240" w:lineRule="auto"/>
              <w:jc w:val="center"/>
            </w:pPr>
            <w:r>
              <w:rPr>
                <w:rFonts w:ascii="Times New Roman" w:hAnsi="Times New Roman"/>
                <w:b/>
                <w:sz w:val="18"/>
              </w:rPr>
              <w:t>Šifra</w:t>
            </w:r>
          </w:p>
        </w:tc>
        <w:tc>
          <w:tcPr>
            <w:shd w:val="clear" w:color="auto" w:fill="E7F0F9"/>
            <w:tcMar>
              <w:top w:w="0" w:type="dxa"/>
              <w:bottom w:w="0" w:type="dxa"/>
            </w:tcMar>
            <w:vAlign w:val="center"/>
          </w:tcPr>
          <w:p w14:paraId="3B5A61A2">
            <w:pPr>
              <w:keepNext/>
              <w:keepLines/>
              <w:spacing w:before="0" w:after="0" w:line="240" w:lineRule="auto"/>
              <w:jc w:val="center"/>
            </w:pPr>
            <w:r>
              <w:rPr>
                <w:rFonts w:ascii="Times New Roman" w:hAnsi="Times New Roman"/>
                <w:b/>
                <w:sz w:val="18"/>
              </w:rPr>
              <w:t>Iznos</w:t>
            </w:r>
          </w:p>
        </w:tc>
        <w:tc>
          <w:tcPr>
            <w:shd w:val="clear" w:color="auto" w:fill="E7F0F9"/>
            <w:tcMar>
              <w:top w:w="0" w:type="dxa"/>
              <w:bottom w:w="0" w:type="dxa"/>
            </w:tcMar>
            <w:vAlign w:val="center"/>
          </w:tcPr>
          <w:p w14:paraId="6F1117F3">
            <w:pPr>
              <w:keepNext/>
              <w:keepLines/>
              <w:spacing w:before="0" w:after="0" w:line="240" w:lineRule="auto"/>
              <w:jc w:val="center"/>
            </w:pPr>
            <w:r>
              <w:rPr>
                <w:rFonts w:ascii="Times New Roman" w:hAnsi="Times New Roman"/>
                <w:b/>
                <w:sz w:val="18"/>
              </w:rPr>
              <w:t>Indeks (%)</w:t>
            </w:r>
          </w:p>
        </w:tc>
      </w:tr>
      <w:tr w14:paraId="6A53D171">
        <w:tblPrEx>
          <w:tblBorders>
            <w:top w:val="single" w:color="BABABA" w:sz="12" w:space="0"/>
            <w:left w:val="single" w:color="BABABA" w:sz="12" w:space="0"/>
            <w:bottom w:val="single" w:color="BABABA" w:sz="12" w:space="0"/>
            <w:right w:val="single" w:color="BABABA" w:sz="12" w:space="0"/>
            <w:insideH w:val="single" w:color="BABABA" w:sz="8" w:space="0"/>
            <w:insideV w:val="single" w:color="DADADA" w:sz="8" w:space="0"/>
          </w:tblBorders>
          <w:tblCellMar>
            <w:top w:w="0" w:type="dxa"/>
            <w:left w:w="40" w:type="dxa"/>
            <w:bottom w:w="0" w:type="dxa"/>
            <w:right w:w="40" w:type="dxa"/>
          </w:tblCellMar>
        </w:tblPrEx>
        <w:trPr>
          <w:cantSplit/>
          <w:trHeight w:val="560" w:hRule="atLeast"/>
        </w:trPr>
        <w:tc>
          <w:tcPr>
            <w:tcMar>
              <w:top w:w="0" w:type="dxa"/>
              <w:bottom w:w="0" w:type="dxa"/>
            </w:tcMar>
            <w:vAlign w:val="center"/>
          </w:tcPr>
          <w:p w14:paraId="147755B3">
            <w:pPr>
              <w:keepNext/>
              <w:keepLines/>
              <w:spacing w:before="0" w:after="0" w:line="240" w:lineRule="auto"/>
              <w:jc w:val="left"/>
            </w:pPr>
          </w:p>
        </w:tc>
        <w:tc>
          <w:tcPr>
            <w:tcMar>
              <w:top w:w="0" w:type="dxa"/>
              <w:bottom w:w="0" w:type="dxa"/>
            </w:tcMar>
            <w:vAlign w:val="center"/>
          </w:tcPr>
          <w:p w14:paraId="1D4B872B">
            <w:pPr>
              <w:keepNext/>
              <w:keepLines/>
              <w:spacing w:before="0" w:after="0" w:line="240" w:lineRule="auto"/>
              <w:jc w:val="left"/>
            </w:pPr>
            <w:r>
              <w:rPr>
                <w:rFonts w:ascii="Times New Roman" w:hAnsi="Times New Roman"/>
                <w:sz w:val="18"/>
              </w:rPr>
              <w:t>Međusobne obveze subjekata općeg proračuna</w:t>
            </w:r>
          </w:p>
        </w:tc>
        <w:tc>
          <w:tcPr>
            <w:tcMar>
              <w:top w:w="0" w:type="dxa"/>
              <w:bottom w:w="0" w:type="dxa"/>
            </w:tcMar>
            <w:vAlign w:val="center"/>
          </w:tcPr>
          <w:p w14:paraId="7B4F3228">
            <w:pPr>
              <w:keepNext/>
              <w:keepLines/>
              <w:spacing w:before="0" w:after="0" w:line="240" w:lineRule="auto"/>
              <w:jc w:val="left"/>
            </w:pPr>
            <w:r>
              <w:rPr>
                <w:rFonts w:ascii="Times New Roman" w:hAnsi="Times New Roman"/>
                <w:sz w:val="18"/>
              </w:rPr>
              <w:t>V010</w:t>
            </w:r>
          </w:p>
        </w:tc>
        <w:tc>
          <w:tcPr>
            <w:tcMar>
              <w:top w:w="0" w:type="dxa"/>
              <w:bottom w:w="0" w:type="dxa"/>
            </w:tcMar>
            <w:vAlign w:val="center"/>
          </w:tcPr>
          <w:p w14:paraId="304F35F6">
            <w:pPr>
              <w:keepNext/>
              <w:keepLines/>
              <w:spacing w:before="0" w:after="0" w:line="240" w:lineRule="auto"/>
              <w:jc w:val="right"/>
            </w:pPr>
            <w:r>
              <w:rPr>
                <w:rFonts w:ascii="Times New Roman" w:hAnsi="Times New Roman"/>
                <w:sz w:val="18"/>
              </w:rPr>
              <w:t>1.378,03</w:t>
            </w:r>
          </w:p>
        </w:tc>
        <w:tc>
          <w:tcPr>
            <w:tcMar>
              <w:top w:w="0" w:type="dxa"/>
              <w:bottom w:w="0" w:type="dxa"/>
            </w:tcMar>
            <w:vAlign w:val="center"/>
          </w:tcPr>
          <w:p w14:paraId="73CD8C1B">
            <w:pPr>
              <w:keepNext/>
              <w:keepLines/>
              <w:spacing w:before="0" w:after="0" w:line="240" w:lineRule="auto"/>
              <w:jc w:val="right"/>
            </w:pPr>
            <w:r>
              <w:rPr>
                <w:rFonts w:ascii="Times New Roman" w:hAnsi="Times New Roman"/>
                <w:sz w:val="18"/>
              </w:rPr>
              <w:t>-</w:t>
            </w:r>
          </w:p>
        </w:tc>
      </w:tr>
    </w:tbl>
    <w:p w14:paraId="1195D761">
      <w:pPr>
        <w:spacing w:before="0" w:after="0"/>
      </w:pPr>
    </w:p>
    <w:p w14:paraId="3C8D276A">
      <w:r>
        <w:t>Nedospjele obveze koje se odnose na bolovanja HZZO a za koje se tražila refundacija.</w:t>
      </w:r>
    </w:p>
    <w:p w14:paraId="45747A6D"/>
    <w:p w14:paraId="24350E90">
      <w:pPr>
        <w:keepNext/>
        <w:spacing w:line="240" w:lineRule="auto"/>
        <w:jc w:val="center"/>
      </w:pPr>
      <w:r>
        <w:rPr>
          <w:rFonts w:ascii="Times New Roman" w:hAnsi="Times New Roman"/>
          <w:sz w:val="28"/>
        </w:rPr>
        <w:t>Bilješka 22.</w:t>
      </w:r>
    </w:p>
    <w:p w14:paraId="31B8D857">
      <w:pPr>
        <w:spacing w:line="240" w:lineRule="auto"/>
        <w:jc w:val="both"/>
      </w:pPr>
      <w:r>
        <w:rPr>
          <w:rFonts w:ascii="Times New Roman" w:hAnsi="Times New Roman"/>
          <w:b/>
          <w:sz w:val="24"/>
        </w:rPr>
        <w:t>EU izvještaj</w:t>
      </w:r>
    </w:p>
    <w:p w14:paraId="76E1FB5D">
      <w:r>
        <w:t>Na izvoru financiranja 510 programi unije, prikazani su prihodi i rashodi koji se odnose na projekt Erasmus+. </w:t>
      </w:r>
    </w:p>
    <w:p w14:paraId="23AA9384">
      <w:r>
        <w:t>Prihodi i rashodi za obračunate plaće Pomoćnika u nastavi iskazani su na dva izvora financiranja i to na izvoru nacionalonog sufinanciranja te na izvoru 561. </w:t>
      </w:r>
    </w:p>
    <w:p w14:paraId="252C9B6E"/>
    <w:sectPr>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0469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1498</Words>
  <Characters>8725</Characters>
  <TotalTime>0</TotalTime>
  <ScaleCrop>false</ScaleCrop>
  <LinksUpToDate>false</LinksUpToDate>
  <CharactersWithSpaces>9885</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2026-07-13T11:39:14Z</dcterms:created>
  <dc:creator>Korisnik</dc:creator>
  <cp:lastModifiedBy>Korisnik</cp:lastModifiedBy>
  <dcterms:modified xsi:type="dcterms:W3CDTF">2026-07-13T11:39:42Z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4C461015555940318DD498E2906ECC42_13</vt:lpwstr>
  </property>
</Properties>
</file>